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A5E19" w14:textId="5355E3FE" w:rsidR="00287F36" w:rsidRDefault="00287F36">
      <w:r>
        <w:rPr>
          <w:noProof/>
        </w:rPr>
        <w:drawing>
          <wp:anchor distT="0" distB="0" distL="114300" distR="114300" simplePos="0" relativeHeight="251658240" behindDoc="1" locked="0" layoutInCell="1" allowOverlap="1" wp14:anchorId="58D59660" wp14:editId="12D1E37E">
            <wp:simplePos x="0" y="0"/>
            <wp:positionH relativeFrom="column">
              <wp:posOffset>3709035</wp:posOffset>
            </wp:positionH>
            <wp:positionV relativeFrom="paragraph">
              <wp:posOffset>0</wp:posOffset>
            </wp:positionV>
            <wp:extent cx="2622550" cy="932815"/>
            <wp:effectExtent l="0" t="0" r="6350" b="635"/>
            <wp:wrapTight wrapText="bothSides">
              <wp:wrapPolygon edited="0">
                <wp:start x="0" y="0"/>
                <wp:lineTo x="0" y="21174"/>
                <wp:lineTo x="21495" y="21174"/>
                <wp:lineTo x="21495" y="0"/>
                <wp:lineTo x="0" y="0"/>
              </wp:wrapPolygon>
            </wp:wrapTight>
            <wp:docPr id="3" name="Picture 3"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22550" cy="93281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4F188C62" wp14:editId="7BCE5A46">
                <wp:simplePos x="0" y="0"/>
                <wp:positionH relativeFrom="column">
                  <wp:posOffset>0</wp:posOffset>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BC33F7B" w14:textId="77777777" w:rsidR="00287F36" w:rsidRPr="00303DB3" w:rsidRDefault="00287F36" w:rsidP="00303DB3">
                            <w:pPr>
                              <w:shd w:val="clear" w:color="auto" w:fill="00B050"/>
                              <w:spacing w:after="0" w:line="240" w:lineRule="auto"/>
                              <w:jc w:val="center"/>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3DB3">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Supreme Fertility</w:t>
                            </w:r>
                          </w:p>
                          <w:p w14:paraId="00B9618E" w14:textId="6E9A5120" w:rsidR="00287F36" w:rsidRPr="00303DB3" w:rsidRDefault="00287F36" w:rsidP="00303DB3">
                            <w:pPr>
                              <w:shd w:val="clear" w:color="auto" w:fill="00B050"/>
                              <w:spacing w:after="0" w:line="240" w:lineRule="auto"/>
                              <w:rPr>
                                <w:b/>
                                <w:bCs/>
                                <w:color w:val="FFFFFF" w:themeColor="background1"/>
                                <w:sz w:val="144"/>
                                <w:szCs w:val="1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3DB3">
                              <w:rPr>
                                <w:b/>
                                <w:bCs/>
                                <w:color w:val="FFFFFF" w:themeColor="background1"/>
                                <w:sz w:val="144"/>
                                <w:szCs w:val="1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FOLATE</w:t>
                            </w:r>
                          </w:p>
                          <w:p w14:paraId="0D122F6A" w14:textId="5C408E54" w:rsidR="00287F36" w:rsidRPr="00303DB3" w:rsidRDefault="001255B4" w:rsidP="00303DB3">
                            <w:pPr>
                              <w:shd w:val="clear" w:color="auto" w:fill="00B050"/>
                              <w:spacing w:after="0" w:line="240" w:lineRule="auto"/>
                              <w:rPr>
                                <w:rFonts w:ascii="Arial" w:hAnsi="Arial" w:cs="Arial"/>
                                <w:color w:val="FFFFFF" w:themeColor="background1"/>
                              </w:rPr>
                            </w:pPr>
                            <w:r w:rsidRPr="00303DB3">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QUATREFOLIC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F188C62" id="_x0000_t202" coordsize="21600,21600" o:spt="202" path="m,l,21600r21600,l21600,xe">
                <v:stroke joinstyle="miter"/>
                <v:path gradientshapeok="t" o:connecttype="rect"/>
              </v:shapetype>
              <v:shape id="Text Box 1" o:spid="_x0000_s1026"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" filled="f" stroked="f">
                <v:fill o:detectmouseclick="t"/>
                <v:textbox style="mso-fit-shape-to-text:t">
                  <w:txbxContent>
                    <w:p w14:paraId="7BC33F7B" w14:textId="77777777" w:rsidR="00287F36" w:rsidRPr="00303DB3" w:rsidRDefault="00287F36" w:rsidP="00303DB3">
                      <w:pPr>
                        <w:shd w:val="clear" w:color="auto" w:fill="00B050"/>
                        <w:spacing w:after="0" w:line="240" w:lineRule="auto"/>
                        <w:jc w:val="center"/>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3DB3">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Supreme Fertility</w:t>
                      </w:r>
                    </w:p>
                    <w:p w14:paraId="00B9618E" w14:textId="6E9A5120" w:rsidR="00287F36" w:rsidRPr="00303DB3" w:rsidRDefault="00287F36" w:rsidP="00303DB3">
                      <w:pPr>
                        <w:shd w:val="clear" w:color="auto" w:fill="00B050"/>
                        <w:spacing w:after="0" w:line="240" w:lineRule="auto"/>
                        <w:rPr>
                          <w:b/>
                          <w:bCs/>
                          <w:color w:val="FFFFFF" w:themeColor="background1"/>
                          <w:sz w:val="144"/>
                          <w:szCs w:val="1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3DB3">
                        <w:rPr>
                          <w:b/>
                          <w:bCs/>
                          <w:color w:val="FFFFFF" w:themeColor="background1"/>
                          <w:sz w:val="144"/>
                          <w:szCs w:val="1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FOLATE</w:t>
                      </w:r>
                    </w:p>
                    <w:p w14:paraId="0D122F6A" w14:textId="5C408E54" w:rsidR="00287F36" w:rsidRPr="00303DB3" w:rsidRDefault="001255B4" w:rsidP="00303DB3">
                      <w:pPr>
                        <w:shd w:val="clear" w:color="auto" w:fill="00B050"/>
                        <w:spacing w:after="0" w:line="240" w:lineRule="auto"/>
                        <w:rPr>
                          <w:rFonts w:ascii="Arial" w:hAnsi="Arial" w:cs="Arial"/>
                          <w:color w:val="FFFFFF" w:themeColor="background1"/>
                        </w:rPr>
                      </w:pPr>
                      <w:r w:rsidRPr="00303DB3">
                        <w:rPr>
                          <w:color w:val="FFFFFF" w:themeColor="background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QUATREFOLIC</w:t>
                      </w:r>
                    </w:p>
                  </w:txbxContent>
                </v:textbox>
              </v:shape>
            </w:pict>
          </mc:Fallback>
        </mc:AlternateContent>
      </w:r>
    </w:p>
    <w:p w14:paraId="2A4208BE" w14:textId="5180DB4A" w:rsidR="00287F36" w:rsidRDefault="00287F36">
      <w:pPr>
        <w:rPr>
          <w:noProof/>
        </w:rPr>
      </w:pPr>
    </w:p>
    <w:p w14:paraId="7FC41179" w14:textId="590892DE" w:rsidR="00287F36" w:rsidRDefault="00287F36">
      <w:pPr>
        <w:rPr>
          <w:noProof/>
        </w:rPr>
      </w:pPr>
    </w:p>
    <w:p w14:paraId="543A71A9" w14:textId="31A3CEF7" w:rsidR="00287F36" w:rsidRDefault="00287F36">
      <w:pPr>
        <w:rPr>
          <w:noProof/>
        </w:rPr>
      </w:pPr>
    </w:p>
    <w:p w14:paraId="744795BF" w14:textId="77777777" w:rsidR="00287F36" w:rsidRDefault="00287F36">
      <w:pPr>
        <w:rPr>
          <w:noProof/>
        </w:rPr>
      </w:pPr>
    </w:p>
    <w:p w14:paraId="4AF65E43" w14:textId="77777777" w:rsidR="00821A22" w:rsidRDefault="00821A22"/>
    <w:p w14:paraId="3A03CD85" w14:textId="4A87F7EC" w:rsidR="00821A22" w:rsidRDefault="00821A22">
      <w:r>
        <w:rPr>
          <w:noProof/>
        </w:rPr>
        <w:drawing>
          <wp:anchor distT="0" distB="0" distL="114300" distR="114300" simplePos="0" relativeHeight="251661312" behindDoc="1" locked="0" layoutInCell="1" allowOverlap="1" wp14:anchorId="41A3D2B9" wp14:editId="4B71BA0B">
            <wp:simplePos x="0" y="0"/>
            <wp:positionH relativeFrom="margin">
              <wp:align>right</wp:align>
            </wp:positionH>
            <wp:positionV relativeFrom="paragraph">
              <wp:posOffset>854710</wp:posOffset>
            </wp:positionV>
            <wp:extent cx="5494020" cy="6478797"/>
            <wp:effectExtent l="0" t="0" r="0" b="0"/>
            <wp:wrapTight wrapText="bothSides">
              <wp:wrapPolygon edited="0">
                <wp:start x="10635" y="1524"/>
                <wp:lineTo x="7639" y="1715"/>
                <wp:lineTo x="6441" y="1969"/>
                <wp:lineTo x="6366" y="3684"/>
                <wp:lineTo x="5617" y="4065"/>
                <wp:lineTo x="5617" y="4319"/>
                <wp:lineTo x="6441" y="4700"/>
                <wp:lineTo x="6516" y="5717"/>
                <wp:lineTo x="5917" y="6225"/>
                <wp:lineTo x="5467" y="6669"/>
                <wp:lineTo x="5393" y="7749"/>
                <wp:lineTo x="5318" y="18229"/>
                <wp:lineTo x="5692" y="19309"/>
                <wp:lineTo x="8763" y="19944"/>
                <wp:lineTo x="10485" y="20071"/>
                <wp:lineTo x="11834" y="20071"/>
                <wp:lineTo x="13182" y="19944"/>
                <wp:lineTo x="16327" y="19246"/>
                <wp:lineTo x="16552" y="18039"/>
                <wp:lineTo x="16552" y="6733"/>
                <wp:lineTo x="15653" y="5780"/>
                <wp:lineTo x="16103" y="5653"/>
                <wp:lineTo x="16103" y="5399"/>
                <wp:lineTo x="15503" y="4700"/>
                <wp:lineTo x="15653" y="1906"/>
                <wp:lineTo x="14904" y="1651"/>
                <wp:lineTo x="12508" y="1524"/>
                <wp:lineTo x="10635" y="1524"/>
              </wp:wrapPolygon>
            </wp:wrapTight>
            <wp:docPr id="2" name="Picture 2" descr="A picture containing cup, sitting, table,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up, sitting, table, food&#10;&#10;Description automatically generated"/>
                    <pic:cNvPicPr/>
                  </pic:nvPicPr>
                  <pic:blipFill rotWithShape="1">
                    <a:blip r:embed="rId9">
                      <a:extLst>
                        <a:ext uri="{28A0092B-C50C-407E-A947-70E740481C1C}">
                          <a14:useLocalDpi xmlns:a14="http://schemas.microsoft.com/office/drawing/2010/main" val="0"/>
                        </a:ext>
                      </a:extLst>
                    </a:blip>
                    <a:srcRect l="28186" t="34301" r="29537" b="15843"/>
                    <a:stretch/>
                  </pic:blipFill>
                  <pic:spPr bwMode="auto">
                    <a:xfrm>
                      <a:off x="0" y="0"/>
                      <a:ext cx="5494020" cy="64787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4835EACA" w14:textId="4D163AA3" w:rsidR="00A527C5" w:rsidRDefault="00821A22" w:rsidP="00821A22">
      <w:pPr>
        <w:pStyle w:val="Heading1"/>
      </w:pPr>
      <w:r>
        <w:lastRenderedPageBreak/>
        <w:t>FOLATE AND OUR NEEDS IN THE MODERN WORLD</w:t>
      </w:r>
    </w:p>
    <w:p w14:paraId="21296496" w14:textId="2AA792C3" w:rsidR="004934DE" w:rsidRDefault="004934DE" w:rsidP="004934DE">
      <w:pPr>
        <w:autoSpaceDE w:val="0"/>
        <w:autoSpaceDN w:val="0"/>
        <w:adjustRightInd w:val="0"/>
        <w:spacing w:after="0" w:line="240" w:lineRule="auto"/>
        <w:rPr>
          <w:rFonts w:ascii="AvantGarde-ExtraLight" w:hAnsi="AvantGarde-ExtraLight" w:cs="AvantGarde-ExtraLight"/>
          <w:color w:val="231F20"/>
          <w:sz w:val="24"/>
          <w:szCs w:val="24"/>
          <w:vertAlign w:val="superscript"/>
        </w:rPr>
      </w:pPr>
      <w:r w:rsidRPr="005D060F">
        <w:rPr>
          <w:rFonts w:ascii="AvantGarde-ExtraLight" w:hAnsi="AvantGarde-ExtraLight" w:cs="AvantGarde-ExtraLight"/>
          <w:color w:val="231F20"/>
          <w:sz w:val="24"/>
          <w:szCs w:val="24"/>
        </w:rPr>
        <w:t xml:space="preserve">Most </w:t>
      </w:r>
      <w:r w:rsidRPr="005D060F">
        <w:rPr>
          <w:rFonts w:ascii="AvantGarde-ExtraLight" w:hAnsi="AvantGarde-ExtraLight" w:cs="AvantGarde-ExtraLight"/>
          <w:color w:val="231F20"/>
          <w:sz w:val="24"/>
          <w:szCs w:val="24"/>
        </w:rPr>
        <w:t xml:space="preserve">folate </w:t>
      </w:r>
      <w:r w:rsidRPr="005D060F">
        <w:rPr>
          <w:rFonts w:ascii="AvantGarde-ExtraLight" w:hAnsi="AvantGarde-ExtraLight" w:cs="AvantGarde-ExtraLight"/>
          <w:color w:val="231F20"/>
          <w:sz w:val="24"/>
          <w:szCs w:val="24"/>
        </w:rPr>
        <w:t>consumption</w:t>
      </w:r>
      <w:r w:rsidRPr="005D060F">
        <w:rPr>
          <w:rFonts w:ascii="AvantGarde-ExtraLight" w:hAnsi="AvantGarde-ExtraLight" w:cs="AvantGarde-ExtraLight"/>
          <w:color w:val="231F20"/>
          <w:sz w:val="24"/>
          <w:szCs w:val="24"/>
        </w:rPr>
        <w:t xml:space="preserve"> is coming from folic acid</w:t>
      </w:r>
      <w:r w:rsidRPr="005D060F">
        <w:rPr>
          <w:rFonts w:ascii="AvantGarde-ExtraLight" w:hAnsi="AvantGarde-ExtraLight" w:cs="AvantGarde-ExtraLight"/>
          <w:color w:val="231F20"/>
          <w:sz w:val="24"/>
          <w:szCs w:val="24"/>
        </w:rPr>
        <w:t>, the synthetic</w:t>
      </w:r>
      <w:r w:rsidRPr="005D060F">
        <w:rPr>
          <w:rFonts w:ascii="AvantGarde-ExtraLight" w:hAnsi="AvantGarde-ExtraLight" w:cs="AvantGarde-ExtraLight"/>
          <w:color w:val="231F20"/>
          <w:sz w:val="24"/>
          <w:szCs w:val="24"/>
        </w:rPr>
        <w:t xml:space="preserve"> version in supplements </w:t>
      </w:r>
      <w:r w:rsidRPr="005D060F">
        <w:rPr>
          <w:rFonts w:ascii="AvantGarde-ExtraLight" w:hAnsi="AvantGarde-ExtraLight" w:cs="AvantGarde-ExtraLight"/>
          <w:color w:val="231F20"/>
          <w:sz w:val="24"/>
          <w:szCs w:val="24"/>
        </w:rPr>
        <w:t xml:space="preserve">which is also </w:t>
      </w:r>
      <w:r w:rsidRPr="005D060F">
        <w:rPr>
          <w:rFonts w:ascii="AvantGarde-ExtraLight" w:hAnsi="AvantGarde-ExtraLight" w:cs="AvantGarde-ExtraLight"/>
          <w:color w:val="231F20"/>
          <w:sz w:val="24"/>
          <w:szCs w:val="24"/>
        </w:rPr>
        <w:t>added to foods. Folic</w:t>
      </w:r>
      <w:r w:rsidRPr="005D060F">
        <w:rPr>
          <w:rFonts w:ascii="AvantGarde-ExtraLight" w:hAnsi="AvantGarde-ExtraLight" w:cs="AvantGarde-ExtraLight"/>
          <w:color w:val="231F20"/>
          <w:sz w:val="24"/>
          <w:szCs w:val="24"/>
        </w:rPr>
        <w:t xml:space="preserve"> </w:t>
      </w:r>
      <w:r w:rsidRPr="005D060F">
        <w:rPr>
          <w:rFonts w:ascii="AvantGarde-ExtraLight" w:hAnsi="AvantGarde-ExtraLight" w:cs="AvantGarde-ExtraLight"/>
          <w:color w:val="231F20"/>
          <w:sz w:val="24"/>
          <w:szCs w:val="24"/>
        </w:rPr>
        <w:t xml:space="preserve">acid (like food folate) is inactive and </w:t>
      </w:r>
      <w:r w:rsidRPr="005D060F">
        <w:rPr>
          <w:rFonts w:ascii="AvantGarde-ExtraLight" w:hAnsi="AvantGarde-ExtraLight" w:cs="AvantGarde-ExtraLight"/>
          <w:color w:val="231F20"/>
          <w:sz w:val="24"/>
          <w:szCs w:val="24"/>
        </w:rPr>
        <w:t xml:space="preserve">must </w:t>
      </w:r>
      <w:r w:rsidRPr="005D060F">
        <w:rPr>
          <w:rFonts w:ascii="AvantGarde-ExtraLight" w:hAnsi="AvantGarde-ExtraLight" w:cs="AvantGarde-ExtraLight"/>
          <w:color w:val="231F20"/>
          <w:sz w:val="24"/>
          <w:szCs w:val="24"/>
        </w:rPr>
        <w:t>be metaboli</w:t>
      </w:r>
      <w:r w:rsidRPr="005D060F">
        <w:rPr>
          <w:rFonts w:ascii="AvantGarde-ExtraLight" w:hAnsi="AvantGarde-ExtraLight" w:cs="AvantGarde-ExtraLight"/>
          <w:color w:val="231F20"/>
          <w:sz w:val="24"/>
          <w:szCs w:val="24"/>
        </w:rPr>
        <w:t>s</w:t>
      </w:r>
      <w:r w:rsidRPr="005D060F">
        <w:rPr>
          <w:rFonts w:ascii="AvantGarde-ExtraLight" w:hAnsi="AvantGarde-ExtraLight" w:cs="AvantGarde-ExtraLight"/>
          <w:color w:val="231F20"/>
          <w:sz w:val="24"/>
          <w:szCs w:val="24"/>
        </w:rPr>
        <w:t>ed</w:t>
      </w:r>
      <w:r w:rsidRPr="005D060F">
        <w:rPr>
          <w:rFonts w:ascii="AvantGarde-ExtraLight" w:hAnsi="AvantGarde-ExtraLight" w:cs="AvantGarde-ExtraLight"/>
          <w:color w:val="231F20"/>
          <w:sz w:val="24"/>
          <w:szCs w:val="24"/>
        </w:rPr>
        <w:t xml:space="preserve"> </w:t>
      </w:r>
      <w:r w:rsidRPr="005D060F">
        <w:rPr>
          <w:rFonts w:ascii="AvantGarde-ExtraLight" w:hAnsi="AvantGarde-ExtraLight" w:cs="AvantGarde-ExtraLight"/>
          <w:color w:val="231F20"/>
          <w:sz w:val="24"/>
          <w:szCs w:val="24"/>
        </w:rPr>
        <w:t>to 5-methyltetrahydrofolate (5-MTHF) to become metabolically</w:t>
      </w:r>
      <w:r w:rsidRPr="005D060F">
        <w:rPr>
          <w:rFonts w:ascii="AvantGarde-ExtraLight" w:hAnsi="AvantGarde-ExtraLight" w:cs="AvantGarde-ExtraLight"/>
          <w:color w:val="231F20"/>
          <w:sz w:val="24"/>
          <w:szCs w:val="24"/>
        </w:rPr>
        <w:t xml:space="preserve"> active. Today we know that this is a complex metabolic process. Many people taking folic acid supplements may still be gravely folate deficient; this is because numerous genetic variations can impair the conversion of folic acid into the bioactive form in many people. Despite this folate intake is often poor in the diets of many people for various reasons. Natural folates are susceptible to oxidation and </w:t>
      </w:r>
      <w:r w:rsidR="00AF4095" w:rsidRPr="005D060F">
        <w:rPr>
          <w:rFonts w:ascii="AvantGarde-ExtraLight" w:hAnsi="AvantGarde-ExtraLight" w:cs="AvantGarde-ExtraLight"/>
          <w:color w:val="231F20"/>
          <w:sz w:val="24"/>
          <w:szCs w:val="24"/>
        </w:rPr>
        <w:t xml:space="preserve">90% </w:t>
      </w:r>
      <w:r w:rsidRPr="005D060F">
        <w:rPr>
          <w:rFonts w:ascii="AvantGarde-ExtraLight" w:hAnsi="AvantGarde-ExtraLight" w:cs="AvantGarde-ExtraLight"/>
          <w:color w:val="231F20"/>
          <w:sz w:val="24"/>
          <w:szCs w:val="24"/>
        </w:rPr>
        <w:t xml:space="preserve">can also </w:t>
      </w:r>
      <w:r w:rsidR="00AF4095" w:rsidRPr="005D060F">
        <w:rPr>
          <w:rFonts w:ascii="AvantGarde-ExtraLight" w:hAnsi="AvantGarde-ExtraLight" w:cs="AvantGarde-ExtraLight"/>
          <w:color w:val="231F20"/>
          <w:sz w:val="24"/>
          <w:szCs w:val="24"/>
        </w:rPr>
        <w:t>be destroyed by cooking. Typical folates also have a low and incomplete bioavailability.</w:t>
      </w:r>
      <w:r w:rsidR="006A4F31">
        <w:rPr>
          <w:rFonts w:ascii="AvantGarde-ExtraLight" w:hAnsi="AvantGarde-ExtraLight" w:cs="AvantGarde-ExtraLight"/>
          <w:color w:val="231F20"/>
          <w:sz w:val="24"/>
          <w:szCs w:val="24"/>
        </w:rPr>
        <w:t xml:space="preserve"> </w:t>
      </w:r>
      <w:r w:rsidR="006A4F31" w:rsidRPr="006A4F31">
        <w:rPr>
          <w:rFonts w:ascii="AvantGarde-ExtraLight" w:hAnsi="AvantGarde-ExtraLight" w:cs="AvantGarde-ExtraLight"/>
          <w:color w:val="231F20"/>
          <w:sz w:val="24"/>
          <w:szCs w:val="24"/>
          <w:vertAlign w:val="superscript"/>
        </w:rPr>
        <w:t>[1,2]</w:t>
      </w:r>
    </w:p>
    <w:p w14:paraId="79B613AF" w14:textId="77777777" w:rsidR="006A4F31" w:rsidRDefault="006A4F31" w:rsidP="004934DE">
      <w:pPr>
        <w:autoSpaceDE w:val="0"/>
        <w:autoSpaceDN w:val="0"/>
        <w:adjustRightInd w:val="0"/>
        <w:spacing w:after="0" w:line="240" w:lineRule="auto"/>
        <w:rPr>
          <w:rFonts w:ascii="AvantGarde-ExtraLight" w:hAnsi="AvantGarde-ExtraLight" w:cs="AvantGarde-ExtraLight"/>
          <w:color w:val="231F20"/>
          <w:sz w:val="24"/>
          <w:szCs w:val="24"/>
        </w:rPr>
      </w:pPr>
    </w:p>
    <w:p w14:paraId="106C41BC" w14:textId="591E2067" w:rsidR="005D060F" w:rsidRDefault="006A4F31" w:rsidP="006A4F31">
      <w:pPr>
        <w:autoSpaceDE w:val="0"/>
        <w:autoSpaceDN w:val="0"/>
        <w:adjustRightInd w:val="0"/>
        <w:spacing w:after="0" w:line="240" w:lineRule="auto"/>
        <w:jc w:val="center"/>
        <w:rPr>
          <w:rFonts w:ascii="AvantGarde-ExtraLight" w:hAnsi="AvantGarde-ExtraLight" w:cs="AvantGarde-ExtraLight"/>
          <w:color w:val="231F20"/>
          <w:sz w:val="24"/>
          <w:szCs w:val="24"/>
        </w:rPr>
      </w:pPr>
      <w:r w:rsidRPr="00AF4095">
        <w:rPr>
          <w:rFonts w:ascii="AvantGarde-ExtraLight" w:hAnsi="AvantGarde-ExtraLight" w:cs="AvantGarde-ExtraLight"/>
          <w:color w:val="231F20"/>
          <w:sz w:val="20"/>
          <w:szCs w:val="20"/>
        </w:rPr>
        <w:drawing>
          <wp:inline distT="0" distB="0" distL="0" distR="0" wp14:anchorId="04D56376" wp14:editId="09555B98">
            <wp:extent cx="4572396" cy="342929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72396" cy="3429297"/>
                    </a:xfrm>
                    <a:prstGeom prst="rect">
                      <a:avLst/>
                    </a:prstGeom>
                  </pic:spPr>
                </pic:pic>
              </a:graphicData>
            </a:graphic>
          </wp:inline>
        </w:drawing>
      </w:r>
    </w:p>
    <w:p w14:paraId="73CDE4C2" w14:textId="3CCDE269" w:rsidR="006A4F31" w:rsidRDefault="006A4F31" w:rsidP="006A4F31">
      <w:pPr>
        <w:autoSpaceDE w:val="0"/>
        <w:autoSpaceDN w:val="0"/>
        <w:adjustRightInd w:val="0"/>
        <w:spacing w:after="0" w:line="240" w:lineRule="auto"/>
        <w:jc w:val="center"/>
        <w:rPr>
          <w:rFonts w:ascii="AvantGarde-ExtraLight" w:hAnsi="AvantGarde-ExtraLight" w:cs="AvantGarde-ExtraLight"/>
          <w:color w:val="231F20"/>
          <w:sz w:val="24"/>
          <w:szCs w:val="24"/>
        </w:rPr>
      </w:pPr>
    </w:p>
    <w:p w14:paraId="41739A68" w14:textId="77777777" w:rsidR="006A4F31" w:rsidRDefault="006A4F31" w:rsidP="006A4F31">
      <w:pPr>
        <w:autoSpaceDE w:val="0"/>
        <w:autoSpaceDN w:val="0"/>
        <w:adjustRightInd w:val="0"/>
        <w:spacing w:after="0" w:line="240" w:lineRule="auto"/>
        <w:jc w:val="center"/>
        <w:rPr>
          <w:rFonts w:ascii="AvantGarde-ExtraLight" w:hAnsi="AvantGarde-ExtraLight" w:cs="AvantGarde-ExtraLight"/>
          <w:color w:val="231F20"/>
          <w:sz w:val="24"/>
          <w:szCs w:val="24"/>
        </w:rPr>
      </w:pPr>
    </w:p>
    <w:p w14:paraId="5BCE75F1" w14:textId="7C2DA025" w:rsidR="005D060F" w:rsidRDefault="005D060F" w:rsidP="004934DE">
      <w:pPr>
        <w:autoSpaceDE w:val="0"/>
        <w:autoSpaceDN w:val="0"/>
        <w:adjustRightInd w:val="0"/>
        <w:spacing w:after="0" w:line="240" w:lineRule="auto"/>
        <w:rPr>
          <w:rFonts w:ascii="AvantGarde-ExtraLight" w:hAnsi="AvantGarde-ExtraLight" w:cs="AvantGarde-ExtraLight"/>
          <w:color w:val="231F20"/>
          <w:sz w:val="24"/>
          <w:szCs w:val="24"/>
        </w:rPr>
      </w:pPr>
      <w:r w:rsidRPr="005D060F">
        <w:rPr>
          <w:rFonts w:ascii="AvantGarde-ExtraLight" w:hAnsi="AvantGarde-ExtraLight" w:cs="AvantGarde-ExtraLight"/>
          <w:b/>
          <w:bCs/>
          <w:color w:val="231F20"/>
          <w:sz w:val="24"/>
          <w:szCs w:val="24"/>
        </w:rPr>
        <w:t>MTHFR Poly</w:t>
      </w:r>
      <w:r>
        <w:rPr>
          <w:rFonts w:ascii="AvantGarde-ExtraLight" w:hAnsi="AvantGarde-ExtraLight" w:cs="AvantGarde-ExtraLight"/>
          <w:b/>
          <w:bCs/>
          <w:color w:val="231F20"/>
          <w:sz w:val="24"/>
          <w:szCs w:val="24"/>
        </w:rPr>
        <w:t>m</w:t>
      </w:r>
      <w:r w:rsidRPr="005D060F">
        <w:rPr>
          <w:rFonts w:ascii="AvantGarde-ExtraLight" w:hAnsi="AvantGarde-ExtraLight" w:cs="AvantGarde-ExtraLight"/>
          <w:b/>
          <w:bCs/>
          <w:color w:val="231F20"/>
          <w:sz w:val="24"/>
          <w:szCs w:val="24"/>
        </w:rPr>
        <w:t>orphisms</w:t>
      </w:r>
    </w:p>
    <w:p w14:paraId="2EC63BF3" w14:textId="0AF74D78" w:rsidR="00337795" w:rsidRPr="006A4F31" w:rsidRDefault="005D060F" w:rsidP="006A4F31">
      <w:pPr>
        <w:autoSpaceDE w:val="0"/>
        <w:autoSpaceDN w:val="0"/>
        <w:adjustRightInd w:val="0"/>
        <w:spacing w:after="0" w:line="240" w:lineRule="auto"/>
        <w:rPr>
          <w:rFonts w:ascii="AvantGarde-ExtraLight" w:hAnsi="AvantGarde-ExtraLight" w:cs="AvantGarde-ExtraLight"/>
          <w:color w:val="231F20"/>
          <w:sz w:val="24"/>
          <w:szCs w:val="24"/>
        </w:rPr>
      </w:pPr>
      <w:r>
        <w:rPr>
          <w:rFonts w:ascii="AvantGarde-ExtraLight" w:hAnsi="AvantGarde-ExtraLight" w:cs="AvantGarde-ExtraLight"/>
          <w:color w:val="231F20"/>
          <w:sz w:val="24"/>
          <w:szCs w:val="24"/>
        </w:rPr>
        <w:t xml:space="preserve">The </w:t>
      </w:r>
      <w:proofErr w:type="spellStart"/>
      <w:r>
        <w:rPr>
          <w:rFonts w:ascii="AvantGarde-ExtraLight" w:hAnsi="AvantGarde-ExtraLight" w:cs="AvantGarde-ExtraLight"/>
          <w:color w:val="231F20"/>
          <w:sz w:val="24"/>
          <w:szCs w:val="24"/>
        </w:rPr>
        <w:t>methyltetrahydrofolate</w:t>
      </w:r>
      <w:proofErr w:type="spellEnd"/>
      <w:r>
        <w:rPr>
          <w:rFonts w:ascii="AvantGarde-ExtraLight" w:hAnsi="AvantGarde-ExtraLight" w:cs="AvantGarde-ExtraLight"/>
          <w:color w:val="231F20"/>
          <w:sz w:val="24"/>
          <w:szCs w:val="24"/>
        </w:rPr>
        <w:t xml:space="preserve"> reductase (MTHFR) is a polymorphic enzyme. Various genetic variations can occur which may impair MTHFR activity and the resulting conversion of folic acid into 5-MTHF. 57% of the population is estimated to have a MTHFR polymorphism</w:t>
      </w:r>
      <w:r w:rsidR="00337795">
        <w:rPr>
          <w:rFonts w:ascii="AvantGarde-ExtraLight" w:hAnsi="AvantGarde-ExtraLight" w:cs="AvantGarde-ExtraLight"/>
          <w:color w:val="231F20"/>
          <w:sz w:val="24"/>
          <w:szCs w:val="24"/>
        </w:rPr>
        <w:t xml:space="preserve"> and do not produce adequate or effective MTHFR. </w:t>
      </w:r>
    </w:p>
    <w:p w14:paraId="6165588C" w14:textId="0802DB50" w:rsidR="00337795" w:rsidRDefault="00337795" w:rsidP="00AF4095">
      <w:pPr>
        <w:autoSpaceDE w:val="0"/>
        <w:autoSpaceDN w:val="0"/>
        <w:adjustRightInd w:val="0"/>
        <w:spacing w:after="0" w:line="240" w:lineRule="auto"/>
        <w:jc w:val="center"/>
        <w:rPr>
          <w:rFonts w:ascii="AvantGarde-ExtraLight" w:hAnsi="AvantGarde-ExtraLight" w:cs="AvantGarde-ExtraLight"/>
          <w:color w:val="231F20"/>
          <w:sz w:val="20"/>
          <w:szCs w:val="20"/>
        </w:rPr>
      </w:pPr>
    </w:p>
    <w:p w14:paraId="2BAF6AE4" w14:textId="305DD2A7" w:rsidR="00337795" w:rsidRDefault="00337795" w:rsidP="00337795">
      <w:pPr>
        <w:autoSpaceDE w:val="0"/>
        <w:autoSpaceDN w:val="0"/>
        <w:adjustRightInd w:val="0"/>
        <w:spacing w:after="0" w:line="240" w:lineRule="auto"/>
        <w:rPr>
          <w:rFonts w:ascii="AvantGarde-ExtraLight" w:hAnsi="AvantGarde-ExtraLight" w:cs="AvantGarde-ExtraLight"/>
          <w:color w:val="231F20"/>
          <w:sz w:val="24"/>
          <w:szCs w:val="24"/>
        </w:rPr>
      </w:pPr>
      <w:r>
        <w:rPr>
          <w:rFonts w:ascii="AvantGarde-ExtraLight" w:hAnsi="AvantGarde-ExtraLight" w:cs="AvantGarde-ExtraLight"/>
          <w:color w:val="231F20"/>
          <w:sz w:val="24"/>
          <w:szCs w:val="24"/>
        </w:rPr>
        <w:t>The e</w:t>
      </w:r>
      <w:r w:rsidRPr="00337795">
        <w:rPr>
          <w:rFonts w:ascii="AvantGarde-ExtraLight" w:hAnsi="AvantGarde-ExtraLight" w:cs="AvantGarde-ExtraLight"/>
          <w:color w:val="231F20"/>
          <w:sz w:val="24"/>
          <w:szCs w:val="24"/>
        </w:rPr>
        <w:t xml:space="preserve">merging </w:t>
      </w:r>
      <w:r>
        <w:rPr>
          <w:rFonts w:ascii="AvantGarde-ExtraLight" w:hAnsi="AvantGarde-ExtraLight" w:cs="AvantGarde-ExtraLight"/>
          <w:color w:val="231F20"/>
          <w:sz w:val="24"/>
          <w:szCs w:val="24"/>
        </w:rPr>
        <w:t>field of</w:t>
      </w:r>
      <w:r w:rsidRPr="00337795">
        <w:rPr>
          <w:rFonts w:ascii="AvantGarde-ExtraLight" w:hAnsi="AvantGarde-ExtraLight" w:cs="AvantGarde-ExtraLight"/>
          <w:color w:val="231F20"/>
          <w:sz w:val="24"/>
          <w:szCs w:val="24"/>
        </w:rPr>
        <w:t xml:space="preserve"> nutrigenomics </w:t>
      </w:r>
      <w:r>
        <w:rPr>
          <w:rFonts w:ascii="AvantGarde-ExtraLight" w:hAnsi="AvantGarde-ExtraLight" w:cs="AvantGarde-ExtraLight"/>
          <w:color w:val="231F20"/>
          <w:sz w:val="24"/>
          <w:szCs w:val="24"/>
        </w:rPr>
        <w:t>has now</w:t>
      </w:r>
      <w:r w:rsidRPr="00337795">
        <w:rPr>
          <w:rFonts w:ascii="AvantGarde-ExtraLight" w:hAnsi="AvantGarde-ExtraLight" w:cs="AvantGarde-ExtraLight"/>
          <w:color w:val="231F20"/>
          <w:sz w:val="24"/>
          <w:szCs w:val="24"/>
        </w:rPr>
        <w:t xml:space="preserve"> shed light </w:t>
      </w:r>
      <w:r>
        <w:rPr>
          <w:rFonts w:ascii="AvantGarde-ExtraLight" w:hAnsi="AvantGarde-ExtraLight" w:cs="AvantGarde-ExtraLight"/>
          <w:color w:val="231F20"/>
          <w:sz w:val="24"/>
          <w:szCs w:val="24"/>
        </w:rPr>
        <w:t xml:space="preserve">on </w:t>
      </w:r>
      <w:r w:rsidRPr="00337795">
        <w:rPr>
          <w:rFonts w:ascii="AvantGarde-ExtraLight" w:hAnsi="AvantGarde-ExtraLight" w:cs="AvantGarde-ExtraLight"/>
          <w:color w:val="231F20"/>
          <w:sz w:val="24"/>
          <w:szCs w:val="24"/>
        </w:rPr>
        <w:t xml:space="preserve">how MTHFR </w:t>
      </w:r>
      <w:proofErr w:type="gramStart"/>
      <w:r w:rsidRPr="00337795">
        <w:rPr>
          <w:rFonts w:ascii="AvantGarde-ExtraLight" w:hAnsi="AvantGarde-ExtraLight" w:cs="AvantGarde-ExtraLight"/>
          <w:color w:val="231F20"/>
          <w:sz w:val="24"/>
          <w:szCs w:val="24"/>
        </w:rPr>
        <w:t>polymorphism</w:t>
      </w:r>
      <w:r>
        <w:rPr>
          <w:rFonts w:ascii="AvantGarde-ExtraLight" w:hAnsi="AvantGarde-ExtraLight" w:cs="AvantGarde-ExtraLight"/>
          <w:color w:val="231F20"/>
          <w:sz w:val="24"/>
          <w:szCs w:val="24"/>
        </w:rPr>
        <w:t>’s</w:t>
      </w:r>
      <w:proofErr w:type="gramEnd"/>
      <w:r w:rsidRPr="00337795">
        <w:rPr>
          <w:rFonts w:ascii="AvantGarde-ExtraLight" w:hAnsi="AvantGarde-ExtraLight" w:cs="AvantGarde-ExtraLight"/>
          <w:color w:val="231F20"/>
          <w:sz w:val="24"/>
          <w:szCs w:val="24"/>
        </w:rPr>
        <w:t xml:space="preserve"> </w:t>
      </w:r>
      <w:r>
        <w:rPr>
          <w:rFonts w:ascii="AvantGarde-ExtraLight" w:hAnsi="AvantGarde-ExtraLight" w:cs="AvantGarde-ExtraLight"/>
          <w:color w:val="231F20"/>
          <w:sz w:val="24"/>
          <w:szCs w:val="24"/>
        </w:rPr>
        <w:t xml:space="preserve">are </w:t>
      </w:r>
      <w:r w:rsidRPr="00337795">
        <w:rPr>
          <w:rFonts w:ascii="AvantGarde-ExtraLight" w:hAnsi="AvantGarde-ExtraLight" w:cs="AvantGarde-ExtraLight"/>
          <w:color w:val="231F20"/>
          <w:sz w:val="24"/>
          <w:szCs w:val="24"/>
        </w:rPr>
        <w:t>implicated in chronic</w:t>
      </w:r>
      <w:r w:rsidRPr="00337795">
        <w:rPr>
          <w:rFonts w:ascii="AvantGarde-ExtraLight" w:hAnsi="AvantGarde-ExtraLight" w:cs="AvantGarde-ExtraLight"/>
          <w:color w:val="231F20"/>
          <w:sz w:val="24"/>
          <w:szCs w:val="24"/>
        </w:rPr>
        <w:t xml:space="preserve"> </w:t>
      </w:r>
      <w:r w:rsidRPr="00337795">
        <w:rPr>
          <w:rFonts w:ascii="AvantGarde-ExtraLight" w:hAnsi="AvantGarde-ExtraLight" w:cs="AvantGarde-ExtraLight"/>
          <w:color w:val="231F20"/>
          <w:sz w:val="24"/>
          <w:szCs w:val="24"/>
        </w:rPr>
        <w:t>disease states</w:t>
      </w:r>
      <w:r>
        <w:rPr>
          <w:rFonts w:ascii="AvantGarde-ExtraLight" w:hAnsi="AvantGarde-ExtraLight" w:cs="AvantGarde-ExtraLight"/>
          <w:color w:val="231F20"/>
          <w:sz w:val="24"/>
          <w:szCs w:val="24"/>
        </w:rPr>
        <w:t xml:space="preserve">. Folate </w:t>
      </w:r>
      <w:r w:rsidR="00350965">
        <w:rPr>
          <w:rFonts w:ascii="AvantGarde-ExtraLight" w:hAnsi="AvantGarde-ExtraLight" w:cs="AvantGarde-ExtraLight"/>
          <w:color w:val="231F20"/>
          <w:sz w:val="24"/>
          <w:szCs w:val="24"/>
        </w:rPr>
        <w:t>and dietary folate may contribute to supporting adequate methylation and overall health</w:t>
      </w:r>
      <w:r w:rsidR="00350965" w:rsidRPr="00350965">
        <w:rPr>
          <w:rFonts w:ascii="AvantGarde-ExtraLight" w:hAnsi="AvantGarde-ExtraLight" w:cs="AvantGarde-ExtraLight"/>
          <w:color w:val="231F20"/>
          <w:sz w:val="24"/>
          <w:szCs w:val="24"/>
          <w:vertAlign w:val="superscript"/>
        </w:rPr>
        <w:t>.[</w:t>
      </w:r>
      <w:r w:rsidR="006A4F31">
        <w:rPr>
          <w:rFonts w:ascii="AvantGarde-ExtraLight" w:hAnsi="AvantGarde-ExtraLight" w:cs="AvantGarde-ExtraLight"/>
          <w:color w:val="231F20"/>
          <w:sz w:val="24"/>
          <w:szCs w:val="24"/>
          <w:vertAlign w:val="superscript"/>
        </w:rPr>
        <w:t>3</w:t>
      </w:r>
      <w:r w:rsidR="00350965" w:rsidRPr="00350965">
        <w:rPr>
          <w:rFonts w:ascii="AvantGarde-ExtraLight" w:hAnsi="AvantGarde-ExtraLight" w:cs="AvantGarde-ExtraLight"/>
          <w:color w:val="231F20"/>
          <w:sz w:val="24"/>
          <w:szCs w:val="24"/>
          <w:vertAlign w:val="superscript"/>
        </w:rPr>
        <w:t>]</w:t>
      </w:r>
    </w:p>
    <w:p w14:paraId="586D8FB3" w14:textId="4C63A539" w:rsidR="00337795" w:rsidRDefault="00337795" w:rsidP="00337795">
      <w:pPr>
        <w:autoSpaceDE w:val="0"/>
        <w:autoSpaceDN w:val="0"/>
        <w:adjustRightInd w:val="0"/>
        <w:spacing w:after="0" w:line="240" w:lineRule="auto"/>
        <w:rPr>
          <w:rFonts w:ascii="AvantGarde-ExtraLight" w:hAnsi="AvantGarde-ExtraLight" w:cs="AvantGarde-ExtraLight"/>
          <w:color w:val="231F20"/>
          <w:sz w:val="24"/>
          <w:szCs w:val="24"/>
        </w:rPr>
      </w:pPr>
    </w:p>
    <w:p w14:paraId="25C65121" w14:textId="0F91FE51" w:rsidR="006A4F31" w:rsidRDefault="006A4F31" w:rsidP="00337795">
      <w:pPr>
        <w:autoSpaceDE w:val="0"/>
        <w:autoSpaceDN w:val="0"/>
        <w:adjustRightInd w:val="0"/>
        <w:spacing w:after="0" w:line="240" w:lineRule="auto"/>
        <w:rPr>
          <w:rFonts w:ascii="AvantGarde-ExtraLight" w:hAnsi="AvantGarde-ExtraLight" w:cs="AvantGarde-ExtraLight"/>
          <w:color w:val="231F20"/>
          <w:sz w:val="24"/>
          <w:szCs w:val="24"/>
          <w:vertAlign w:val="superscript"/>
        </w:rPr>
      </w:pPr>
      <w:r>
        <w:rPr>
          <w:rFonts w:ascii="AvantGarde-ExtraLight" w:hAnsi="AvantGarde-ExtraLight" w:cs="AvantGarde-ExtraLight"/>
          <w:color w:val="231F20"/>
          <w:sz w:val="24"/>
          <w:szCs w:val="24"/>
        </w:rPr>
        <w:t xml:space="preserve">There are currently more than 50 identified MTHFR variants, the two prime variants are C677T and A1298C. </w:t>
      </w:r>
      <w:r w:rsidR="003E380D">
        <w:rPr>
          <w:rFonts w:ascii="AvantGarde-ExtraLight" w:hAnsi="AvantGarde-ExtraLight" w:cs="AvantGarde-ExtraLight"/>
          <w:color w:val="231F20"/>
          <w:sz w:val="24"/>
          <w:szCs w:val="24"/>
        </w:rPr>
        <w:t xml:space="preserve">The number identifies the location on the MTHFR gene and the letters to the amino acid position. The MTHFR gene is reported as either heterozygous or homozygous. </w:t>
      </w:r>
      <w:r w:rsidR="003E380D" w:rsidRPr="003E380D">
        <w:rPr>
          <w:rFonts w:ascii="AvantGarde-ExtraLight" w:hAnsi="AvantGarde-ExtraLight" w:cs="AvantGarde-ExtraLight"/>
          <w:color w:val="231F20"/>
          <w:sz w:val="24"/>
          <w:szCs w:val="24"/>
          <w:vertAlign w:val="superscript"/>
        </w:rPr>
        <w:t>[4]</w:t>
      </w:r>
    </w:p>
    <w:p w14:paraId="6ED61D63" w14:textId="53FD2771" w:rsidR="003E380D" w:rsidRDefault="003E380D" w:rsidP="00337795">
      <w:pPr>
        <w:autoSpaceDE w:val="0"/>
        <w:autoSpaceDN w:val="0"/>
        <w:adjustRightInd w:val="0"/>
        <w:spacing w:after="0" w:line="240" w:lineRule="auto"/>
        <w:rPr>
          <w:rFonts w:ascii="AvantGarde-ExtraLight" w:hAnsi="AvantGarde-ExtraLight" w:cs="AvantGarde-ExtraLight"/>
          <w:color w:val="231F20"/>
          <w:sz w:val="24"/>
          <w:szCs w:val="24"/>
          <w:vertAlign w:val="superscript"/>
        </w:rPr>
      </w:pPr>
    </w:p>
    <w:p w14:paraId="31DEFD7B" w14:textId="52AF32F2" w:rsidR="00117DFB" w:rsidRPr="00117DFB" w:rsidRDefault="00117DFB" w:rsidP="00117DFB">
      <w:pPr>
        <w:tabs>
          <w:tab w:val="left" w:pos="5304"/>
        </w:tabs>
        <w:rPr>
          <w:rFonts w:ascii="AvantGarde-ExtraLight" w:hAnsi="AvantGarde-ExtraLight" w:cs="AvantGarde-ExtraLight"/>
          <w:sz w:val="24"/>
          <w:szCs w:val="24"/>
        </w:rPr>
      </w:pPr>
      <w:r>
        <w:rPr>
          <w:rFonts w:ascii="AvantGarde-ExtraLight" w:hAnsi="AvantGarde-ExtraLight" w:cs="AvantGarde-ExtraLight"/>
          <w:sz w:val="24"/>
          <w:szCs w:val="24"/>
        </w:rPr>
        <w:tab/>
      </w:r>
    </w:p>
    <w:p w14:paraId="4F6A79A5" w14:textId="6E8D8BAF" w:rsidR="003E380D" w:rsidRDefault="003E380D" w:rsidP="00337795">
      <w:pPr>
        <w:autoSpaceDE w:val="0"/>
        <w:autoSpaceDN w:val="0"/>
        <w:adjustRightInd w:val="0"/>
        <w:spacing w:after="0" w:line="240" w:lineRule="auto"/>
        <w:rPr>
          <w:rFonts w:ascii="AvantGarde-ExtraLight" w:hAnsi="AvantGarde-ExtraLight" w:cs="AvantGarde-ExtraLight"/>
          <w:color w:val="231F20"/>
          <w:sz w:val="24"/>
          <w:szCs w:val="24"/>
        </w:rPr>
      </w:pPr>
      <w:r>
        <w:rPr>
          <w:rFonts w:ascii="AvantGarde-ExtraLight" w:hAnsi="AvantGarde-ExtraLight" w:cs="AvantGarde-ExtraLight"/>
          <w:color w:val="231F20"/>
          <w:sz w:val="24"/>
          <w:szCs w:val="24"/>
        </w:rPr>
        <w:lastRenderedPageBreak/>
        <w:t>Compared to a normal MTHFR enzyme, polymorphic variants may function at 55% to 70% efficiency. Homozygous implies two genes are affected which may mean an enzyme efficiency decrease to approximately 7% to 10% compared to normal. Also, more common in those predisposed to cancer, heart disease and autism. The mutation frequency can exceed 90% of these populations. [5]</w:t>
      </w:r>
    </w:p>
    <w:p w14:paraId="4734A046" w14:textId="48F58641" w:rsidR="00943CB3" w:rsidRDefault="00943CB3" w:rsidP="00337795">
      <w:pPr>
        <w:autoSpaceDE w:val="0"/>
        <w:autoSpaceDN w:val="0"/>
        <w:adjustRightInd w:val="0"/>
        <w:spacing w:after="0" w:line="240" w:lineRule="auto"/>
        <w:rPr>
          <w:rFonts w:ascii="AvantGarde-ExtraLight" w:hAnsi="AvantGarde-ExtraLight" w:cs="AvantGarde-ExtraLight"/>
          <w:color w:val="231F20"/>
          <w:sz w:val="24"/>
          <w:szCs w:val="24"/>
        </w:rPr>
      </w:pPr>
    </w:p>
    <w:p w14:paraId="7455BFD7" w14:textId="77777777" w:rsidR="001255B4" w:rsidRDefault="00943CB3" w:rsidP="001255B4">
      <w:pPr>
        <w:keepNext/>
        <w:autoSpaceDE w:val="0"/>
        <w:autoSpaceDN w:val="0"/>
        <w:adjustRightInd w:val="0"/>
        <w:spacing w:after="0" w:line="240" w:lineRule="auto"/>
        <w:jc w:val="center"/>
      </w:pPr>
      <w:r>
        <w:rPr>
          <w:noProof/>
        </w:rPr>
        <w:drawing>
          <wp:inline distT="0" distB="0" distL="0" distR="0" wp14:anchorId="0D9D3E5E" wp14:editId="646E66C7">
            <wp:extent cx="3528366" cy="298729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28366" cy="2987299"/>
                    </a:xfrm>
                    <a:prstGeom prst="rect">
                      <a:avLst/>
                    </a:prstGeom>
                  </pic:spPr>
                </pic:pic>
              </a:graphicData>
            </a:graphic>
          </wp:inline>
        </w:drawing>
      </w:r>
    </w:p>
    <w:p w14:paraId="0E2C49E0" w14:textId="48392D6B" w:rsidR="00943CB3" w:rsidRDefault="001255B4" w:rsidP="001255B4">
      <w:pPr>
        <w:pStyle w:val="Caption"/>
        <w:jc w:val="center"/>
        <w:rPr>
          <w:rFonts w:ascii="AvantGarde-ExtraLight" w:hAnsi="AvantGarde-ExtraLight" w:cs="AvantGarde-ExtraLight"/>
          <w:color w:val="231F20"/>
          <w:sz w:val="24"/>
          <w:szCs w:val="24"/>
        </w:rPr>
      </w:pPr>
      <w:r w:rsidRPr="001255B4">
        <w:rPr>
          <w:rFonts w:ascii="AvantGarde-ExtraLight" w:hAnsi="AvantGarde-ExtraLight" w:cs="AvantGarde-ExtraLight"/>
          <w:color w:val="FF0000"/>
          <w:sz w:val="24"/>
          <w:szCs w:val="24"/>
        </w:rPr>
        <w:fldChar w:fldCharType="begin"/>
      </w:r>
      <w:r w:rsidRPr="001255B4">
        <w:rPr>
          <w:rFonts w:ascii="AvantGarde-ExtraLight" w:hAnsi="AvantGarde-ExtraLight" w:cs="AvantGarde-ExtraLight"/>
          <w:color w:val="FF0000"/>
          <w:sz w:val="24"/>
          <w:szCs w:val="24"/>
        </w:rPr>
        <w:instrText xml:space="preserve"> SEQ Figure \* ARABIC </w:instrText>
      </w:r>
      <w:r w:rsidRPr="001255B4">
        <w:rPr>
          <w:rFonts w:ascii="AvantGarde-ExtraLight" w:hAnsi="AvantGarde-ExtraLight" w:cs="AvantGarde-ExtraLight"/>
          <w:color w:val="FF0000"/>
          <w:sz w:val="24"/>
          <w:szCs w:val="24"/>
        </w:rPr>
        <w:fldChar w:fldCharType="separate"/>
      </w:r>
      <w:r w:rsidRPr="001255B4">
        <w:rPr>
          <w:rFonts w:ascii="AvantGarde-ExtraLight" w:hAnsi="AvantGarde-ExtraLight" w:cs="AvantGarde-ExtraLight"/>
          <w:noProof/>
          <w:color w:val="FF0000"/>
          <w:sz w:val="24"/>
          <w:szCs w:val="24"/>
        </w:rPr>
        <w:t>1</w:t>
      </w:r>
      <w:r w:rsidRPr="001255B4">
        <w:rPr>
          <w:rFonts w:ascii="AvantGarde-ExtraLight" w:hAnsi="AvantGarde-ExtraLight" w:cs="AvantGarde-ExtraLight"/>
          <w:color w:val="FF0000"/>
          <w:sz w:val="24"/>
          <w:szCs w:val="24"/>
        </w:rPr>
        <w:fldChar w:fldCharType="end"/>
      </w:r>
      <w:r w:rsidRPr="001255B4">
        <w:rPr>
          <w:color w:val="FF0000"/>
        </w:rPr>
        <w:t xml:space="preserve">: Source </w:t>
      </w:r>
      <w:proofErr w:type="spellStart"/>
      <w:r w:rsidRPr="001255B4">
        <w:rPr>
          <w:color w:val="FF0000"/>
        </w:rPr>
        <w:t>Quatrefolic</w:t>
      </w:r>
      <w:proofErr w:type="spellEnd"/>
      <w:r w:rsidRPr="001255B4">
        <w:rPr>
          <w:color w:val="FF0000"/>
        </w:rPr>
        <w:t xml:space="preserve"> White Paper</w:t>
      </w:r>
    </w:p>
    <w:p w14:paraId="0B1584C0" w14:textId="65FC0202" w:rsidR="00943CB3" w:rsidRDefault="00943CB3" w:rsidP="00943CB3">
      <w:pPr>
        <w:autoSpaceDE w:val="0"/>
        <w:autoSpaceDN w:val="0"/>
        <w:adjustRightInd w:val="0"/>
        <w:spacing w:after="0" w:line="240" w:lineRule="auto"/>
        <w:jc w:val="center"/>
        <w:rPr>
          <w:rFonts w:ascii="AvantGarde-ExtraLight" w:hAnsi="AvantGarde-ExtraLight" w:cs="AvantGarde-ExtraLight"/>
          <w:color w:val="231F20"/>
          <w:sz w:val="24"/>
          <w:szCs w:val="24"/>
        </w:rPr>
      </w:pPr>
    </w:p>
    <w:p w14:paraId="1FCD0E8A" w14:textId="219D1357" w:rsidR="00943CB3" w:rsidRDefault="00943CB3" w:rsidP="00943CB3">
      <w:pPr>
        <w:autoSpaceDE w:val="0"/>
        <w:autoSpaceDN w:val="0"/>
        <w:adjustRightInd w:val="0"/>
        <w:spacing w:after="0" w:line="240" w:lineRule="auto"/>
        <w:rPr>
          <w:rFonts w:ascii="AvantGarde-ExtraLight" w:hAnsi="AvantGarde-ExtraLight" w:cs="AvantGarde-ExtraLight"/>
          <w:color w:val="231F20"/>
          <w:sz w:val="20"/>
          <w:szCs w:val="20"/>
        </w:rPr>
      </w:pPr>
      <w:r>
        <w:rPr>
          <w:rFonts w:ascii="AvantGarde-ExtraLight" w:hAnsi="AvantGarde-ExtraLight" w:cs="AvantGarde-ExtraLight"/>
          <w:color w:val="231F20"/>
          <w:sz w:val="20"/>
          <w:szCs w:val="20"/>
        </w:rPr>
        <w:t xml:space="preserve">MTHFR gene mutations </w:t>
      </w:r>
      <w:r>
        <w:rPr>
          <w:rFonts w:ascii="AvantGarde-ExtraLight" w:hAnsi="AvantGarde-ExtraLight" w:cs="AvantGarde-ExtraLight"/>
          <w:color w:val="231F20"/>
          <w:sz w:val="20"/>
          <w:szCs w:val="20"/>
        </w:rPr>
        <w:t xml:space="preserve">may </w:t>
      </w:r>
      <w:r>
        <w:rPr>
          <w:rFonts w:ascii="AvantGarde-ExtraLight" w:hAnsi="AvantGarde-ExtraLight" w:cs="AvantGarde-ExtraLight"/>
          <w:color w:val="231F20"/>
          <w:sz w:val="20"/>
          <w:szCs w:val="20"/>
        </w:rPr>
        <w:t>affect over 40% of the world population,</w:t>
      </w:r>
      <w:r>
        <w:rPr>
          <w:rFonts w:ascii="AvantGarde-ExtraLight" w:hAnsi="AvantGarde-ExtraLight" w:cs="AvantGarde-ExtraLight"/>
          <w:color w:val="231F20"/>
          <w:sz w:val="20"/>
          <w:szCs w:val="20"/>
        </w:rPr>
        <w:t xml:space="preserve"> which to date has been largely ignored.</w:t>
      </w:r>
    </w:p>
    <w:p w14:paraId="0FE5F1F4" w14:textId="1D646B98" w:rsidR="00943CB3" w:rsidRPr="00943CB3" w:rsidRDefault="00943CB3" w:rsidP="00943CB3">
      <w:pPr>
        <w:autoSpaceDE w:val="0"/>
        <w:autoSpaceDN w:val="0"/>
        <w:adjustRightInd w:val="0"/>
        <w:spacing w:after="0" w:line="240" w:lineRule="auto"/>
        <w:rPr>
          <w:rFonts w:ascii="AvantGarde-Medium" w:hAnsi="AvantGarde-Medium" w:cs="AvantGarde-Medium"/>
          <w:color w:val="231F20"/>
          <w:sz w:val="20"/>
          <w:szCs w:val="20"/>
        </w:rPr>
      </w:pPr>
      <w:r>
        <w:rPr>
          <w:rFonts w:ascii="AvantGarde-Medium" w:hAnsi="AvantGarde-Medium" w:cs="AvantGarde-Medium"/>
          <w:color w:val="231F20"/>
          <w:sz w:val="20"/>
          <w:szCs w:val="20"/>
        </w:rPr>
        <w:t>Current population</w:t>
      </w:r>
      <w:r>
        <w:rPr>
          <w:rFonts w:ascii="AvantGarde-Medium" w:hAnsi="AvantGarde-Medium" w:cs="AvantGarde-Medium"/>
          <w:color w:val="231F20"/>
          <w:sz w:val="20"/>
          <w:szCs w:val="20"/>
        </w:rPr>
        <w:t xml:space="preserve"> </w:t>
      </w:r>
      <w:r>
        <w:rPr>
          <w:rFonts w:ascii="AvantGarde-Medium" w:hAnsi="AvantGarde-Medium" w:cs="AvantGarde-Medium"/>
          <w:color w:val="231F20"/>
          <w:sz w:val="20"/>
          <w:szCs w:val="20"/>
        </w:rPr>
        <w:t>data shows gaps especially in some ethnic groups or large</w:t>
      </w:r>
      <w:r>
        <w:rPr>
          <w:rFonts w:ascii="AvantGarde-Medium" w:hAnsi="AvantGarde-Medium" w:cs="AvantGarde-Medium"/>
          <w:color w:val="231F20"/>
          <w:sz w:val="20"/>
          <w:szCs w:val="20"/>
        </w:rPr>
        <w:t xml:space="preserve"> </w:t>
      </w:r>
      <w:r>
        <w:rPr>
          <w:rFonts w:ascii="AvantGarde-Medium" w:hAnsi="AvantGarde-Medium" w:cs="AvantGarde-Medium"/>
          <w:color w:val="231F20"/>
          <w:sz w:val="20"/>
          <w:szCs w:val="20"/>
        </w:rPr>
        <w:t>geographical areas: about 50% women in Caucasian (higher</w:t>
      </w:r>
      <w:r>
        <w:rPr>
          <w:rFonts w:ascii="AvantGarde-Medium" w:hAnsi="AvantGarde-Medium" w:cs="AvantGarde-Medium"/>
          <w:color w:val="231F20"/>
          <w:sz w:val="20"/>
          <w:szCs w:val="20"/>
        </w:rPr>
        <w:t xml:space="preserve"> </w:t>
      </w:r>
      <w:r>
        <w:rPr>
          <w:rFonts w:ascii="AvantGarde-Medium" w:hAnsi="AvantGarde-Medium" w:cs="AvantGarde-Medium"/>
          <w:color w:val="231F20"/>
          <w:sz w:val="20"/>
          <w:szCs w:val="20"/>
        </w:rPr>
        <w:t>in the North American Caucasians, Italian and the Hispanics),</w:t>
      </w:r>
      <w:r>
        <w:rPr>
          <w:rFonts w:ascii="AvantGarde-Medium" w:hAnsi="AvantGarde-Medium" w:cs="AvantGarde-Medium"/>
          <w:color w:val="231F20"/>
          <w:sz w:val="20"/>
          <w:szCs w:val="20"/>
        </w:rPr>
        <w:t xml:space="preserve"> </w:t>
      </w:r>
      <w:r>
        <w:rPr>
          <w:rFonts w:ascii="AvantGarde-Medium" w:hAnsi="AvantGarde-Medium" w:cs="AvantGarde-Medium"/>
          <w:color w:val="231F20"/>
          <w:sz w:val="20"/>
          <w:szCs w:val="20"/>
        </w:rPr>
        <w:t xml:space="preserve">Mexico (34.8%) and in the North part of China (around 20%) </w:t>
      </w:r>
      <w:r>
        <w:rPr>
          <w:rFonts w:ascii="AvantGarde-ExtraLight" w:hAnsi="AvantGarde-ExtraLight" w:cs="AvantGarde-ExtraLight"/>
          <w:color w:val="231F20"/>
          <w:sz w:val="12"/>
          <w:szCs w:val="12"/>
        </w:rPr>
        <w:t>(</w:t>
      </w:r>
      <w:r>
        <w:rPr>
          <w:rFonts w:ascii="AvantGarde-ExtraLight" w:hAnsi="AvantGarde-ExtraLight" w:cs="AvantGarde-ExtraLight"/>
          <w:color w:val="231F20"/>
          <w:sz w:val="12"/>
          <w:szCs w:val="12"/>
        </w:rPr>
        <w:t>6,7]</w:t>
      </w:r>
    </w:p>
    <w:p w14:paraId="44BF943F" w14:textId="356702A7" w:rsidR="001255B4" w:rsidRDefault="001255B4" w:rsidP="00821A22">
      <w:pPr>
        <w:pStyle w:val="Heading1"/>
      </w:pPr>
      <w:r>
        <w:t>“UMFA”, UNMETABOLISED FOLIC ACID IN SERUM</w:t>
      </w:r>
    </w:p>
    <w:p w14:paraId="717465F6" w14:textId="104B8335" w:rsidR="00A74E6E" w:rsidRDefault="001255B4" w:rsidP="001255B4">
      <w:pPr>
        <w:rPr>
          <w:color w:val="000000"/>
          <w:shd w:val="clear" w:color="auto" w:fill="FFFFFF"/>
          <w:vertAlign w:val="superscript"/>
        </w:rPr>
      </w:pPr>
      <w:r>
        <w:t>Studies have now found an increase in the serum of unmetabolized folic acid (UMFA) levels with increased concern over potential risk of adverse effects</w:t>
      </w:r>
      <w:r w:rsidR="00A74E6E">
        <w:t>. E</w:t>
      </w:r>
      <w:r w:rsidR="00A74E6E">
        <w:rPr>
          <w:color w:val="000000"/>
          <w:shd w:val="clear" w:color="auto" w:fill="FFFFFF"/>
        </w:rPr>
        <w:t xml:space="preserve">vidence suggests that high intake (≥1 mg/d) of </w:t>
      </w:r>
      <w:r w:rsidR="00A74E6E">
        <w:rPr>
          <w:color w:val="000000"/>
          <w:shd w:val="clear" w:color="auto" w:fill="FFFFFF"/>
        </w:rPr>
        <w:t>folic acid</w:t>
      </w:r>
      <w:r w:rsidR="00A74E6E">
        <w:rPr>
          <w:color w:val="000000"/>
          <w:shd w:val="clear" w:color="auto" w:fill="FFFFFF"/>
        </w:rPr>
        <w:t xml:space="preserve"> may </w:t>
      </w:r>
      <w:r w:rsidR="00A74E6E">
        <w:rPr>
          <w:color w:val="000000"/>
          <w:shd w:val="clear" w:color="auto" w:fill="FFFFFF"/>
        </w:rPr>
        <w:t>worsen</w:t>
      </w:r>
      <w:r w:rsidR="00A74E6E">
        <w:rPr>
          <w:color w:val="000000"/>
          <w:shd w:val="clear" w:color="auto" w:fill="FFFFFF"/>
        </w:rPr>
        <w:t xml:space="preserve"> some </w:t>
      </w:r>
      <w:r w:rsidR="00A74E6E">
        <w:rPr>
          <w:color w:val="000000"/>
          <w:shd w:val="clear" w:color="auto" w:fill="FFFFFF"/>
        </w:rPr>
        <w:t>pre-existing</w:t>
      </w:r>
      <w:r w:rsidR="00A74E6E">
        <w:rPr>
          <w:color w:val="000000"/>
          <w:shd w:val="clear" w:color="auto" w:fill="FFFFFF"/>
        </w:rPr>
        <w:t xml:space="preserve"> cancers or progression of precancerous lesions, such as in the colon </w:t>
      </w:r>
      <w:r w:rsidR="00A74E6E">
        <w:rPr>
          <w:color w:val="000000"/>
          <w:shd w:val="clear" w:color="auto" w:fill="FFFFFF"/>
        </w:rPr>
        <w:t>and</w:t>
      </w:r>
      <w:r w:rsidR="00A74E6E">
        <w:rPr>
          <w:color w:val="000000"/>
          <w:shd w:val="clear" w:color="auto" w:fill="FFFFFF"/>
        </w:rPr>
        <w:t xml:space="preserve"> prostate. </w:t>
      </w:r>
      <w:r w:rsidR="00A74E6E">
        <w:rPr>
          <w:color w:val="000000"/>
          <w:shd w:val="clear" w:color="auto" w:fill="FFFFFF"/>
        </w:rPr>
        <w:t xml:space="preserve">In older women, with high levels of UMFA, the natural killer cell activity has been reported to be decreased. Evidence also suggests that UMFA can mask vitamin B12 deficiency and potentially worsen neurological damage with prolonged B12 deficiency. </w:t>
      </w:r>
      <w:r w:rsidR="00A74E6E" w:rsidRPr="00A74E6E">
        <w:rPr>
          <w:color w:val="000000"/>
          <w:shd w:val="clear" w:color="auto" w:fill="FFFFFF"/>
          <w:vertAlign w:val="superscript"/>
        </w:rPr>
        <w:t>[8,]</w:t>
      </w:r>
    </w:p>
    <w:p w14:paraId="55262E72" w14:textId="1FA1F9B4" w:rsidR="00A74E6E" w:rsidRDefault="00A74E6E" w:rsidP="001255B4">
      <w:pPr>
        <w:rPr>
          <w:color w:val="000000"/>
          <w:shd w:val="clear" w:color="auto" w:fill="FFFFFF"/>
          <w:vertAlign w:val="superscript"/>
        </w:rPr>
      </w:pPr>
      <w:r w:rsidRPr="00A74E6E">
        <w:rPr>
          <w:noProof/>
          <w:color w:val="000000"/>
          <w:shd w:val="clear" w:color="auto" w:fill="FFFFFF"/>
        </w:rPr>
        <mc:AlternateContent>
          <mc:Choice Requires="wpg">
            <w:drawing>
              <wp:anchor distT="45720" distB="45720" distL="182880" distR="182880" simplePos="0" relativeHeight="251663360" behindDoc="0" locked="0" layoutInCell="1" allowOverlap="1" wp14:anchorId="02946AF8" wp14:editId="0CCD755B">
                <wp:simplePos x="0" y="0"/>
                <wp:positionH relativeFrom="margin">
                  <wp:posOffset>1082040</wp:posOffset>
                </wp:positionH>
                <wp:positionV relativeFrom="margin">
                  <wp:posOffset>7109460</wp:posOffset>
                </wp:positionV>
                <wp:extent cx="3649980" cy="1135380"/>
                <wp:effectExtent l="0" t="0" r="0" b="7620"/>
                <wp:wrapSquare wrapText="bothSides"/>
                <wp:docPr id="198" name="Group 198"/>
                <wp:cNvGraphicFramePr/>
                <a:graphic xmlns:a="http://schemas.openxmlformats.org/drawingml/2006/main">
                  <a:graphicData uri="http://schemas.microsoft.com/office/word/2010/wordprocessingGroup">
                    <wpg:wgp>
                      <wpg:cNvGrpSpPr/>
                      <wpg:grpSpPr>
                        <a:xfrm>
                          <a:off x="0" y="0"/>
                          <a:ext cx="3649980" cy="1135380"/>
                          <a:chOff x="0" y="0"/>
                          <a:chExt cx="3651298" cy="1135160"/>
                        </a:xfrm>
                      </wpg:grpSpPr>
                      <wps:wsp>
                        <wps:cNvPr id="199" name="Rectangle 199"/>
                        <wps:cNvSpPr/>
                        <wps:spPr>
                          <a:xfrm>
                            <a:off x="0" y="0"/>
                            <a:ext cx="3567448" cy="388543"/>
                          </a:xfrm>
                          <a:prstGeom prst="rect">
                            <a:avLst/>
                          </a:prstGeom>
                          <a:solidFill>
                            <a:srgbClr val="00B050"/>
                          </a:solidFill>
                          <a:ln>
                            <a:solidFill>
                              <a:srgbClr val="00B050"/>
                            </a:solidFill>
                          </a:ln>
                        </wps:spPr>
                        <wps:style>
                          <a:lnRef idx="0">
                            <a:scrgbClr r="0" g="0" b="0"/>
                          </a:lnRef>
                          <a:fillRef idx="0">
                            <a:scrgbClr r="0" g="0" b="0"/>
                          </a:fillRef>
                          <a:effectRef idx="0">
                            <a:scrgbClr r="0" g="0" b="0"/>
                          </a:effectRef>
                          <a:fontRef idx="minor">
                            <a:schemeClr val="lt1"/>
                          </a:fontRef>
                        </wps:style>
                        <wps:txbx>
                          <w:txbxContent>
                            <w:p w14:paraId="42CA51A6" w14:textId="4340ABEC" w:rsidR="00A74E6E" w:rsidRPr="00800ACD" w:rsidRDefault="00800ACD">
                              <w:pPr>
                                <w:jc w:val="center"/>
                                <w:rPr>
                                  <w:rFonts w:asciiTheme="majorHAnsi" w:eastAsiaTheme="majorEastAsia" w:hAnsiTheme="majorHAnsi" w:cstheme="majorBidi"/>
                                  <w:b/>
                                  <w:bCs/>
                                  <w:color w:val="FFFFFF" w:themeColor="background1"/>
                                  <w:sz w:val="36"/>
                                  <w:szCs w:val="40"/>
                                </w:rPr>
                              </w:pPr>
                              <w:r w:rsidRPr="00800ACD">
                                <w:rPr>
                                  <w:rFonts w:asciiTheme="majorHAnsi" w:eastAsiaTheme="majorEastAsia" w:hAnsiTheme="majorHAnsi" w:cstheme="majorBidi"/>
                                  <w:b/>
                                  <w:bCs/>
                                  <w:color w:val="FFFFFF" w:themeColor="background1"/>
                                  <w:sz w:val="36"/>
                                  <w:szCs w:val="40"/>
                                </w:rPr>
                                <w:t>QUATREFOLIC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83850" y="283160"/>
                            <a:ext cx="3567448" cy="85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E29BD" w14:textId="7311BBC6" w:rsidR="00A74E6E" w:rsidRPr="00800ACD" w:rsidRDefault="00800ACD">
                              <w:pPr>
                                <w:rPr>
                                  <w:b/>
                                  <w:bCs/>
                                  <w:caps/>
                                  <w:color w:val="00B050"/>
                                  <w:sz w:val="26"/>
                                  <w:szCs w:val="26"/>
                                </w:rPr>
                              </w:pPr>
                              <w:r w:rsidRPr="00800ACD">
                                <w:rPr>
                                  <w:b/>
                                  <w:bCs/>
                                  <w:caps/>
                                  <w:color w:val="00B050"/>
                                  <w:sz w:val="26"/>
                                  <w:szCs w:val="26"/>
                                </w:rPr>
                                <w:t>QUATREFOLIC, THE “ACTIVE FORM” OF FOLATE DOES NOT ADD TO THE BUILD UP OF UMFA IN THE BLOOD.</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2946AF8" id="Group 198" o:spid="_x0000_s1027" style="position:absolute;margin-left:85.2pt;margin-top:559.8pt;width:287.4pt;height:89.4pt;z-index:251663360;mso-wrap-distance-left:14.4pt;mso-wrap-distance-top:3.6pt;mso-wrap-distance-right:14.4pt;mso-wrap-distance-bottom:3.6pt;mso-position-horizontal-relative:margin;mso-position-vertical-relative:margin;mso-width-relative:margin;mso-height-relative:margin" coordsize="36512,11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">
                <v:rect id="Rectangle 199" o:spid="_x0000_s1028" style="position:absolute;width:35674;height:3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" fillcolor="#00b050" strokecolor="#00b050">
                  <v:textbox>
                    <w:txbxContent>
                      <w:p w14:paraId="42CA51A6" w14:textId="4340ABEC" w:rsidR="00A74E6E" w:rsidRPr="00800ACD" w:rsidRDefault="00800ACD">
                        <w:pPr>
                          <w:jc w:val="center"/>
                          <w:rPr>
                            <w:rFonts w:asciiTheme="majorHAnsi" w:eastAsiaTheme="majorEastAsia" w:hAnsiTheme="majorHAnsi" w:cstheme="majorBidi"/>
                            <w:b/>
                            <w:bCs/>
                            <w:color w:val="FFFFFF" w:themeColor="background1"/>
                            <w:sz w:val="36"/>
                            <w:szCs w:val="40"/>
                          </w:rPr>
                        </w:pPr>
                        <w:r w:rsidRPr="00800ACD">
                          <w:rPr>
                            <w:rFonts w:asciiTheme="majorHAnsi" w:eastAsiaTheme="majorEastAsia" w:hAnsiTheme="majorHAnsi" w:cstheme="majorBidi"/>
                            <w:b/>
                            <w:bCs/>
                            <w:color w:val="FFFFFF" w:themeColor="background1"/>
                            <w:sz w:val="36"/>
                            <w:szCs w:val="40"/>
                          </w:rPr>
                          <w:t>QUATREFOLIC</w:t>
                        </w:r>
                      </w:p>
                    </w:txbxContent>
                  </v:textbox>
                </v:rect>
                <v:shape id="Text Box 200" o:spid="_x0000_s1029" type="#_x0000_t202" style="position:absolute;left:838;top:2831;width:35674;height:8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1E29BD" w14:textId="7311BBC6" w:rsidR="00A74E6E" w:rsidRPr="00800ACD" w:rsidRDefault="00800ACD">
                        <w:pPr>
                          <w:rPr>
                            <w:b/>
                            <w:bCs/>
                            <w:caps/>
                            <w:color w:val="00B050"/>
                            <w:sz w:val="26"/>
                            <w:szCs w:val="26"/>
                          </w:rPr>
                        </w:pPr>
                        <w:r w:rsidRPr="00800ACD">
                          <w:rPr>
                            <w:b/>
                            <w:bCs/>
                            <w:caps/>
                            <w:color w:val="00B050"/>
                            <w:sz w:val="26"/>
                            <w:szCs w:val="26"/>
                          </w:rPr>
                          <w:t>QUATREFOLIC, THE “ACTIVE FORM” OF FOLATE DOES NOT ADD TO THE BUILD UP OF UMFA IN THE BLOOD.</w:t>
                        </w:r>
                      </w:p>
                    </w:txbxContent>
                  </v:textbox>
                </v:shape>
                <w10:wrap type="square" anchorx="margin" anchory="margin"/>
              </v:group>
            </w:pict>
          </mc:Fallback>
        </mc:AlternateContent>
      </w:r>
    </w:p>
    <w:p w14:paraId="45F88269" w14:textId="7D7D53AF" w:rsidR="00A74E6E" w:rsidRDefault="00A74E6E" w:rsidP="001255B4">
      <w:pPr>
        <w:rPr>
          <w:color w:val="000000"/>
          <w:shd w:val="clear" w:color="auto" w:fill="FFFFFF"/>
        </w:rPr>
      </w:pPr>
    </w:p>
    <w:p w14:paraId="41360675" w14:textId="09222141" w:rsidR="00A74E6E" w:rsidRDefault="00A74E6E" w:rsidP="001255B4">
      <w:pPr>
        <w:rPr>
          <w:color w:val="000000"/>
          <w:shd w:val="clear" w:color="auto" w:fill="FFFFFF"/>
        </w:rPr>
      </w:pPr>
    </w:p>
    <w:p w14:paraId="7D62743B" w14:textId="531027A5" w:rsidR="00800ACD" w:rsidRDefault="00800ACD" w:rsidP="001255B4">
      <w:pPr>
        <w:rPr>
          <w:color w:val="000000"/>
          <w:shd w:val="clear" w:color="auto" w:fill="FFFFFF"/>
        </w:rPr>
      </w:pPr>
    </w:p>
    <w:p w14:paraId="2DCDD509" w14:textId="5F5ED863" w:rsidR="00800ACD" w:rsidRDefault="00800ACD" w:rsidP="001255B4">
      <w:pPr>
        <w:rPr>
          <w:color w:val="000000"/>
          <w:shd w:val="clear" w:color="auto" w:fill="FFFFFF"/>
        </w:rPr>
      </w:pPr>
    </w:p>
    <w:p w14:paraId="54A032AB" w14:textId="77777777" w:rsidR="00BA3708" w:rsidRDefault="00BA3708" w:rsidP="001255B4">
      <w:pPr>
        <w:rPr>
          <w:color w:val="000000"/>
          <w:shd w:val="clear" w:color="auto" w:fill="FFFFFF"/>
        </w:rPr>
      </w:pPr>
    </w:p>
    <w:p w14:paraId="5C1AE2F7" w14:textId="0E820AAE" w:rsidR="00800ACD" w:rsidRDefault="00800ACD" w:rsidP="001255B4">
      <w:pPr>
        <w:rPr>
          <w:color w:val="000000"/>
          <w:shd w:val="clear" w:color="auto" w:fill="FFFFFF"/>
        </w:rPr>
      </w:pPr>
    </w:p>
    <w:p w14:paraId="7F8A11CC" w14:textId="309CE477" w:rsidR="004934DE" w:rsidRDefault="004934DE" w:rsidP="00821A22">
      <w:pPr>
        <w:pStyle w:val="Heading1"/>
      </w:pPr>
      <w:r>
        <w:lastRenderedPageBreak/>
        <w:t>INCREASED NEED FOR FOLATE</w:t>
      </w:r>
    </w:p>
    <w:p w14:paraId="328E3774" w14:textId="77777777" w:rsidR="00BA3708" w:rsidRDefault="00BA3708" w:rsidP="005D060F">
      <w:pPr>
        <w:pStyle w:val="ListParagraph"/>
        <w:numPr>
          <w:ilvl w:val="0"/>
          <w:numId w:val="1"/>
        </w:numPr>
        <w:sectPr w:rsidR="00BA3708" w:rsidSect="00287F36">
          <w:footerReference w:type="default" r:id="rId12"/>
          <w:pgSz w:w="11906" w:h="16838"/>
          <w:pgMar w:top="1440" w:right="1440" w:bottom="1134" w:left="1440" w:header="709" w:footer="709" w:gutter="0"/>
          <w:cols w:space="708"/>
          <w:docGrid w:linePitch="360"/>
        </w:sectPr>
      </w:pPr>
    </w:p>
    <w:p w14:paraId="4090F02F" w14:textId="114C2E05" w:rsidR="005D060F" w:rsidRDefault="00BA3708" w:rsidP="005D060F">
      <w:pPr>
        <w:pStyle w:val="ListParagraph"/>
        <w:numPr>
          <w:ilvl w:val="0"/>
          <w:numId w:val="1"/>
        </w:numPr>
      </w:pPr>
      <w:r>
        <w:t>Dietary intake is inadequate</w:t>
      </w:r>
    </w:p>
    <w:p w14:paraId="7E18F0AC" w14:textId="54AC30D1" w:rsidR="00BA3708" w:rsidRDefault="00BA3708" w:rsidP="005D060F">
      <w:pPr>
        <w:pStyle w:val="ListParagraph"/>
        <w:numPr>
          <w:ilvl w:val="0"/>
          <w:numId w:val="1"/>
        </w:numPr>
      </w:pPr>
      <w:r>
        <w:t>Pregnancy and lactation</w:t>
      </w:r>
    </w:p>
    <w:p w14:paraId="6CD991CC" w14:textId="3705F9BC" w:rsidR="00BA3708" w:rsidRDefault="00BA3708" w:rsidP="005D060F">
      <w:pPr>
        <w:pStyle w:val="ListParagraph"/>
        <w:numPr>
          <w:ilvl w:val="0"/>
          <w:numId w:val="1"/>
        </w:numPr>
      </w:pPr>
      <w:r>
        <w:t>Genetic variations</w:t>
      </w:r>
    </w:p>
    <w:p w14:paraId="7B4A6794" w14:textId="270E6B64" w:rsidR="00BA3708" w:rsidRDefault="00BA3708" w:rsidP="005D060F">
      <w:pPr>
        <w:pStyle w:val="ListParagraph"/>
        <w:numPr>
          <w:ilvl w:val="0"/>
          <w:numId w:val="1"/>
        </w:numPr>
      </w:pPr>
      <w:r>
        <w:t>Liver disease</w:t>
      </w:r>
    </w:p>
    <w:p w14:paraId="6F3A9A0A" w14:textId="0E1E90B7" w:rsidR="00BA3708" w:rsidRDefault="00BA3708" w:rsidP="005D060F">
      <w:pPr>
        <w:pStyle w:val="ListParagraph"/>
        <w:numPr>
          <w:ilvl w:val="0"/>
          <w:numId w:val="1"/>
        </w:numPr>
      </w:pPr>
      <w:r>
        <w:t>Digestive system disorders</w:t>
      </w:r>
    </w:p>
    <w:p w14:paraId="45A26684" w14:textId="42435BA1" w:rsidR="00BA3708" w:rsidRDefault="00BA3708" w:rsidP="005D060F">
      <w:pPr>
        <w:pStyle w:val="ListParagraph"/>
        <w:numPr>
          <w:ilvl w:val="0"/>
          <w:numId w:val="1"/>
        </w:numPr>
      </w:pPr>
      <w:r>
        <w:t>Preconception both males and females</w:t>
      </w:r>
    </w:p>
    <w:p w14:paraId="2D1F182A" w14:textId="13926652" w:rsidR="00BA3708" w:rsidRDefault="00BA3708" w:rsidP="005D060F">
      <w:pPr>
        <w:pStyle w:val="ListParagraph"/>
        <w:numPr>
          <w:ilvl w:val="0"/>
          <w:numId w:val="1"/>
        </w:numPr>
      </w:pPr>
      <w:r>
        <w:t>Male Infertility</w:t>
      </w:r>
    </w:p>
    <w:p w14:paraId="726C166D" w14:textId="7FCACBCF" w:rsidR="00BA3708" w:rsidRDefault="00BA3708" w:rsidP="005D060F">
      <w:pPr>
        <w:pStyle w:val="ListParagraph"/>
        <w:numPr>
          <w:ilvl w:val="0"/>
          <w:numId w:val="1"/>
        </w:numPr>
      </w:pPr>
      <w:r>
        <w:t>Female Infertility</w:t>
      </w:r>
    </w:p>
    <w:p w14:paraId="3A202F66" w14:textId="0A9B4B52" w:rsidR="00BA3708" w:rsidRDefault="00BA3708" w:rsidP="005D060F">
      <w:pPr>
        <w:pStyle w:val="ListParagraph"/>
        <w:numPr>
          <w:ilvl w:val="0"/>
          <w:numId w:val="1"/>
        </w:numPr>
      </w:pPr>
      <w:r>
        <w:t>Mood/Depression</w:t>
      </w:r>
    </w:p>
    <w:p w14:paraId="107BA07A" w14:textId="02A54C27" w:rsidR="00BA3708" w:rsidRDefault="00BA3708" w:rsidP="005D060F">
      <w:pPr>
        <w:pStyle w:val="ListParagraph"/>
        <w:numPr>
          <w:ilvl w:val="0"/>
          <w:numId w:val="1"/>
        </w:numPr>
      </w:pPr>
      <w:r>
        <w:t>Post-menopausal</w:t>
      </w:r>
    </w:p>
    <w:p w14:paraId="1A6732F6" w14:textId="0B4F7A82" w:rsidR="00BA3708" w:rsidRDefault="001C1C13" w:rsidP="005D060F">
      <w:pPr>
        <w:pStyle w:val="ListParagraph"/>
        <w:numPr>
          <w:ilvl w:val="0"/>
          <w:numId w:val="1"/>
        </w:numPr>
      </w:pPr>
      <w:r>
        <w:t>Anaemia</w:t>
      </w:r>
    </w:p>
    <w:p w14:paraId="4E68E615" w14:textId="290681DC" w:rsidR="00BA3708" w:rsidRDefault="00BA3708" w:rsidP="005D060F">
      <w:pPr>
        <w:pStyle w:val="ListParagraph"/>
        <w:numPr>
          <w:ilvl w:val="0"/>
          <w:numId w:val="1"/>
        </w:numPr>
      </w:pPr>
      <w:r>
        <w:t>Cardiovascular Disease</w:t>
      </w:r>
    </w:p>
    <w:p w14:paraId="79B08B3E" w14:textId="35DD7F0B" w:rsidR="00BA3708" w:rsidRDefault="00BA3708" w:rsidP="005D060F">
      <w:pPr>
        <w:pStyle w:val="ListParagraph"/>
        <w:numPr>
          <w:ilvl w:val="0"/>
          <w:numId w:val="1"/>
        </w:numPr>
      </w:pPr>
      <w:proofErr w:type="spellStart"/>
      <w:r>
        <w:t>Hyperhomocysteinemia</w:t>
      </w:r>
      <w:proofErr w:type="spellEnd"/>
    </w:p>
    <w:p w14:paraId="0D5F95CD" w14:textId="7267380B" w:rsidR="00BA3708" w:rsidRDefault="00BA3708" w:rsidP="005D060F">
      <w:pPr>
        <w:pStyle w:val="ListParagraph"/>
        <w:numPr>
          <w:ilvl w:val="0"/>
          <w:numId w:val="1"/>
        </w:numPr>
      </w:pPr>
      <w:r>
        <w:t>Aging &amp; Older People (Mild Cognitive Impairment)</w:t>
      </w:r>
    </w:p>
    <w:p w14:paraId="6AFAC172" w14:textId="780F005E" w:rsidR="001C1C13" w:rsidRDefault="00F54136" w:rsidP="001C1C13">
      <w:pPr>
        <w:pStyle w:val="ListParagraph"/>
        <w:numPr>
          <w:ilvl w:val="0"/>
          <w:numId w:val="1"/>
        </w:numPr>
      </w:pPr>
      <w:r>
        <w:t>Smokers</w:t>
      </w:r>
    </w:p>
    <w:p w14:paraId="30DC1E3D" w14:textId="09CFA7DA" w:rsidR="001C1C13" w:rsidRDefault="001C1C13" w:rsidP="001C1C13">
      <w:pPr>
        <w:pStyle w:val="ListParagraph"/>
        <w:numPr>
          <w:ilvl w:val="0"/>
          <w:numId w:val="1"/>
        </w:numPr>
        <w:sectPr w:rsidR="001C1C13" w:rsidSect="00BA3708">
          <w:type w:val="continuous"/>
          <w:pgSz w:w="11906" w:h="16838"/>
          <w:pgMar w:top="1440" w:right="1440" w:bottom="1134" w:left="1440" w:header="709" w:footer="709" w:gutter="0"/>
          <w:cols w:num="2" w:space="708"/>
          <w:docGrid w:linePitch="360"/>
        </w:sectPr>
      </w:pPr>
      <w:r>
        <w:t>Excessive alcohol intak</w:t>
      </w:r>
      <w:r w:rsidR="00303DB3">
        <w:t>e</w:t>
      </w:r>
    </w:p>
    <w:p w14:paraId="650FA362" w14:textId="20C4A8C2" w:rsidR="00821A22" w:rsidRDefault="00821A22" w:rsidP="00821A22">
      <w:pPr>
        <w:pStyle w:val="Heading1"/>
      </w:pPr>
      <w:r>
        <w:t>MEDICATIONS COMPROMISING</w:t>
      </w:r>
      <w:r w:rsidR="004934DE">
        <w:t xml:space="preserve"> FOLATE</w:t>
      </w:r>
    </w:p>
    <w:p w14:paraId="353A2704" w14:textId="77777777" w:rsidR="00E526B8" w:rsidRDefault="00E526B8" w:rsidP="001C1C13">
      <w:pPr>
        <w:pStyle w:val="ListParagraph"/>
        <w:numPr>
          <w:ilvl w:val="0"/>
          <w:numId w:val="8"/>
        </w:numPr>
        <w:sectPr w:rsidR="00E526B8" w:rsidSect="00BA3708">
          <w:type w:val="continuous"/>
          <w:pgSz w:w="11906" w:h="16838"/>
          <w:pgMar w:top="1440" w:right="1440" w:bottom="1134" w:left="1440" w:header="709" w:footer="709" w:gutter="0"/>
          <w:cols w:space="708"/>
          <w:docGrid w:linePitch="360"/>
        </w:sectPr>
      </w:pPr>
    </w:p>
    <w:p w14:paraId="338ADDC3" w14:textId="2B38985E" w:rsidR="00BA3708" w:rsidRDefault="001C1C13" w:rsidP="001C1C13">
      <w:pPr>
        <w:pStyle w:val="ListParagraph"/>
        <w:numPr>
          <w:ilvl w:val="0"/>
          <w:numId w:val="8"/>
        </w:numPr>
      </w:pPr>
      <w:r>
        <w:t>Methotrexate</w:t>
      </w:r>
    </w:p>
    <w:p w14:paraId="0C6F9DD1" w14:textId="36F14602" w:rsidR="001C1C13" w:rsidRDefault="001C1C13" w:rsidP="001C1C13">
      <w:pPr>
        <w:pStyle w:val="ListParagraph"/>
        <w:numPr>
          <w:ilvl w:val="0"/>
          <w:numId w:val="8"/>
        </w:numPr>
      </w:pPr>
      <w:r>
        <w:t>Phenytoin</w:t>
      </w:r>
    </w:p>
    <w:p w14:paraId="61179DDB" w14:textId="6D75C51A" w:rsidR="001C1C13" w:rsidRDefault="001C1C13" w:rsidP="001C1C13">
      <w:pPr>
        <w:pStyle w:val="ListParagraph"/>
        <w:numPr>
          <w:ilvl w:val="0"/>
          <w:numId w:val="8"/>
        </w:numPr>
      </w:pPr>
      <w:r>
        <w:t>Trimethoprim/</w:t>
      </w:r>
      <w:proofErr w:type="spellStart"/>
      <w:r>
        <w:t>Sulphamethoxazole</w:t>
      </w:r>
      <w:proofErr w:type="spellEnd"/>
    </w:p>
    <w:p w14:paraId="5A176351" w14:textId="5F3CED36" w:rsidR="001C1C13" w:rsidRDefault="001C1C13" w:rsidP="001C1C13">
      <w:pPr>
        <w:pStyle w:val="ListParagraph"/>
        <w:numPr>
          <w:ilvl w:val="0"/>
          <w:numId w:val="8"/>
        </w:numPr>
      </w:pPr>
      <w:r>
        <w:t>Sulfasalazine</w:t>
      </w:r>
    </w:p>
    <w:p w14:paraId="71D7DFFE" w14:textId="65AC672A" w:rsidR="001C1C13" w:rsidRDefault="001C1C13" w:rsidP="001C1C13">
      <w:pPr>
        <w:pStyle w:val="ListParagraph"/>
        <w:numPr>
          <w:ilvl w:val="0"/>
          <w:numId w:val="8"/>
        </w:numPr>
      </w:pPr>
      <w:r>
        <w:t>Metformin</w:t>
      </w:r>
    </w:p>
    <w:p w14:paraId="21FEAE4C" w14:textId="3B0B9140" w:rsidR="001C1C13" w:rsidRDefault="001C1C13" w:rsidP="001C1C13">
      <w:pPr>
        <w:pStyle w:val="ListParagraph"/>
        <w:numPr>
          <w:ilvl w:val="0"/>
          <w:numId w:val="8"/>
        </w:numPr>
      </w:pPr>
      <w:r>
        <w:t>Triamterene</w:t>
      </w:r>
    </w:p>
    <w:p w14:paraId="45D0091C" w14:textId="7A5C0811" w:rsidR="001C1C13" w:rsidRDefault="001C1C13" w:rsidP="001C1C13">
      <w:pPr>
        <w:pStyle w:val="ListParagraph"/>
        <w:numPr>
          <w:ilvl w:val="0"/>
          <w:numId w:val="8"/>
        </w:numPr>
      </w:pPr>
      <w:r>
        <w:t>Pyrimethamine</w:t>
      </w:r>
    </w:p>
    <w:p w14:paraId="37AE7E45" w14:textId="6CFA029B" w:rsidR="001C1C13" w:rsidRPr="00BA3708" w:rsidRDefault="001C1C13" w:rsidP="001C1C13">
      <w:pPr>
        <w:pStyle w:val="ListParagraph"/>
        <w:numPr>
          <w:ilvl w:val="0"/>
          <w:numId w:val="8"/>
        </w:numPr>
      </w:pPr>
      <w:r>
        <w:t>Barbiturates</w:t>
      </w:r>
    </w:p>
    <w:p w14:paraId="3D335AF1" w14:textId="77777777" w:rsidR="00E526B8" w:rsidRDefault="00E526B8" w:rsidP="00821A22">
      <w:pPr>
        <w:pStyle w:val="Heading1"/>
        <w:sectPr w:rsidR="00E526B8" w:rsidSect="00E526B8">
          <w:type w:val="continuous"/>
          <w:pgSz w:w="11906" w:h="16838"/>
          <w:pgMar w:top="1440" w:right="1440" w:bottom="1134" w:left="1440" w:header="709" w:footer="709" w:gutter="0"/>
          <w:cols w:num="2" w:space="708"/>
          <w:docGrid w:linePitch="360"/>
        </w:sectPr>
      </w:pPr>
    </w:p>
    <w:p w14:paraId="63A0235D" w14:textId="7C90921A" w:rsidR="004934DE" w:rsidRDefault="004934DE" w:rsidP="00821A22">
      <w:pPr>
        <w:pStyle w:val="Heading1"/>
      </w:pPr>
      <w:r>
        <w:t>CONSIDERATIONS FOR SUPPLEMENTS</w:t>
      </w:r>
    </w:p>
    <w:p w14:paraId="5141E382" w14:textId="6D8F8379" w:rsidR="00F54136" w:rsidRDefault="00F54136" w:rsidP="00F54136">
      <w:pPr>
        <w:autoSpaceDE w:val="0"/>
        <w:autoSpaceDN w:val="0"/>
        <w:adjustRightInd w:val="0"/>
        <w:spacing w:after="0" w:line="240" w:lineRule="auto"/>
        <w:rPr>
          <w:rFonts w:ascii="AvantGarde-ExtraLight" w:hAnsi="AvantGarde-ExtraLight" w:cs="AvantGarde-ExtraLight"/>
          <w:color w:val="231F20"/>
          <w:sz w:val="20"/>
          <w:szCs w:val="20"/>
        </w:rPr>
      </w:pPr>
      <w:r>
        <w:rPr>
          <w:rFonts w:ascii="AvantGarde-ExtraLight" w:hAnsi="AvantGarde-ExtraLight" w:cs="AvantGarde-ExtraLight"/>
          <w:color w:val="231F20"/>
          <w:sz w:val="20"/>
          <w:szCs w:val="20"/>
        </w:rPr>
        <w:t>Animal studies and human clinical trial confirm that</w:t>
      </w:r>
      <w:r>
        <w:rPr>
          <w:rFonts w:ascii="AvantGarde-ExtraLight" w:hAnsi="AvantGarde-ExtraLight" w:cs="AvantGarde-ExtraLight"/>
          <w:color w:val="231F20"/>
          <w:sz w:val="20"/>
          <w:szCs w:val="20"/>
        </w:rPr>
        <w:t xml:space="preserve"> </w:t>
      </w:r>
      <w:proofErr w:type="spellStart"/>
      <w:r>
        <w:rPr>
          <w:rFonts w:ascii="AvantGarde-ExtraLight" w:hAnsi="AvantGarde-ExtraLight" w:cs="AvantGarde-ExtraLight"/>
          <w:color w:val="231F20"/>
          <w:sz w:val="20"/>
          <w:szCs w:val="20"/>
        </w:rPr>
        <w:t>Quatrefolic</w:t>
      </w:r>
      <w:proofErr w:type="spellEnd"/>
      <w:r>
        <w:rPr>
          <w:rFonts w:ascii="AvantGarde-ExtraLight" w:hAnsi="AvantGarde-ExtraLight" w:cs="AvantGarde-ExtraLight"/>
          <w:color w:val="231F20"/>
          <w:sz w:val="12"/>
          <w:szCs w:val="12"/>
        </w:rPr>
        <w:t xml:space="preserve">® </w:t>
      </w:r>
      <w:r>
        <w:rPr>
          <w:rFonts w:ascii="AvantGarde-ExtraLight" w:hAnsi="AvantGarde-ExtraLight" w:cs="AvantGarde-ExtraLight"/>
          <w:color w:val="231F20"/>
          <w:sz w:val="20"/>
          <w:szCs w:val="20"/>
        </w:rPr>
        <w:t xml:space="preserve">has </w:t>
      </w:r>
      <w:r>
        <w:rPr>
          <w:rFonts w:ascii="AvantGarde-ExtraLight" w:hAnsi="AvantGarde-ExtraLight" w:cs="AvantGarde-ExtraLight"/>
          <w:color w:val="231F20"/>
          <w:sz w:val="20"/>
          <w:szCs w:val="20"/>
        </w:rPr>
        <w:t xml:space="preserve">a superior bioavailability profile </w:t>
      </w:r>
      <w:r>
        <w:rPr>
          <w:rFonts w:ascii="AvantGarde-ExtraLight" w:hAnsi="AvantGarde-ExtraLight" w:cs="AvantGarde-ExtraLight"/>
          <w:color w:val="231F20"/>
          <w:sz w:val="20"/>
          <w:szCs w:val="20"/>
        </w:rPr>
        <w:t>over</w:t>
      </w:r>
      <w:r>
        <w:rPr>
          <w:rFonts w:ascii="AvantGarde-ExtraLight" w:hAnsi="AvantGarde-ExtraLight" w:cs="AvantGarde-ExtraLight"/>
          <w:color w:val="231F20"/>
          <w:sz w:val="20"/>
          <w:szCs w:val="20"/>
        </w:rPr>
        <w:t xml:space="preserve"> (6S)-5-methyltetrahydrofolate calcium salt and folic acid. I</w:t>
      </w:r>
      <w:r>
        <w:rPr>
          <w:rFonts w:ascii="AvantGarde-ExtraLight" w:hAnsi="AvantGarde-ExtraLight" w:cs="AvantGarde-ExtraLight"/>
          <w:color w:val="231F20"/>
          <w:sz w:val="20"/>
          <w:szCs w:val="20"/>
        </w:rPr>
        <w:t>n</w:t>
      </w:r>
      <w:r>
        <w:rPr>
          <w:rFonts w:ascii="AvantGarde-ExtraLight" w:hAnsi="AvantGarde-ExtraLight" w:cs="AvantGarde-ExtraLight"/>
          <w:color w:val="231F20"/>
          <w:sz w:val="20"/>
          <w:szCs w:val="20"/>
        </w:rPr>
        <w:t xml:space="preserve"> a single</w:t>
      </w:r>
      <w:r>
        <w:rPr>
          <w:rFonts w:ascii="AvantGarde-ExtraLight" w:hAnsi="AvantGarde-ExtraLight" w:cs="AvantGarde-ExtraLight"/>
          <w:color w:val="231F20"/>
          <w:sz w:val="20"/>
          <w:szCs w:val="20"/>
        </w:rPr>
        <w:t xml:space="preserve"> </w:t>
      </w:r>
      <w:r>
        <w:rPr>
          <w:rFonts w:ascii="AvantGarde-ExtraLight" w:hAnsi="AvantGarde-ExtraLight" w:cs="AvantGarde-ExtraLight"/>
          <w:color w:val="231F20"/>
          <w:sz w:val="20"/>
          <w:szCs w:val="20"/>
        </w:rPr>
        <w:t>dose, balanced, two sequences, two periods, two treatments</w:t>
      </w:r>
      <w:r>
        <w:rPr>
          <w:rFonts w:ascii="AvantGarde-ExtraLight" w:hAnsi="AvantGarde-ExtraLight" w:cs="AvantGarde-ExtraLight"/>
          <w:color w:val="231F20"/>
          <w:sz w:val="20"/>
          <w:szCs w:val="20"/>
        </w:rPr>
        <w:t xml:space="preserve"> randomized</w:t>
      </w:r>
      <w:r>
        <w:rPr>
          <w:rFonts w:ascii="AvantGarde-ExtraLight" w:hAnsi="AvantGarde-ExtraLight" w:cs="AvantGarde-ExtraLight"/>
          <w:color w:val="231F20"/>
          <w:sz w:val="20"/>
          <w:szCs w:val="20"/>
        </w:rPr>
        <w:t xml:space="preserve"> crossover study.</w:t>
      </w:r>
    </w:p>
    <w:p w14:paraId="7948ECA1" w14:textId="77777777" w:rsidR="00F54136" w:rsidRPr="00F54136" w:rsidRDefault="00F54136" w:rsidP="00F54136">
      <w:pPr>
        <w:autoSpaceDE w:val="0"/>
        <w:autoSpaceDN w:val="0"/>
        <w:adjustRightInd w:val="0"/>
        <w:spacing w:after="0" w:line="240" w:lineRule="auto"/>
        <w:rPr>
          <w:rFonts w:ascii="AvantGarde-ExtraLight" w:hAnsi="AvantGarde-ExtraLight" w:cs="AvantGarde-ExtraLight"/>
          <w:color w:val="231F20"/>
          <w:sz w:val="20"/>
          <w:szCs w:val="20"/>
        </w:rPr>
      </w:pPr>
    </w:p>
    <w:p w14:paraId="60DAB08D" w14:textId="52280CA8" w:rsidR="00C662CC" w:rsidRPr="00C662CC" w:rsidRDefault="00C662CC" w:rsidP="00F54136">
      <w:pPr>
        <w:jc w:val="center"/>
      </w:pPr>
      <w:r>
        <w:rPr>
          <w:noProof/>
        </w:rPr>
        <w:drawing>
          <wp:inline distT="0" distB="0" distL="0" distR="0" wp14:anchorId="657A5C20" wp14:editId="2F7E8F8C">
            <wp:extent cx="5486400" cy="32004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4C5F48B" w14:textId="6ED7E77C" w:rsidR="00350965" w:rsidRDefault="004934DE" w:rsidP="00821A22">
      <w:pPr>
        <w:pStyle w:val="Heading1"/>
      </w:pPr>
      <w:r>
        <w:t>AN EVOLUTION IN FOLATE SUPPLEMENTATION</w:t>
      </w:r>
    </w:p>
    <w:p w14:paraId="6BD86280" w14:textId="7357C0C6" w:rsidR="00F54136" w:rsidRDefault="00303DB3" w:rsidP="00F54136">
      <w:r>
        <w:t xml:space="preserve">Why is </w:t>
      </w:r>
      <w:proofErr w:type="spellStart"/>
      <w:r>
        <w:t>Quatrefolic</w:t>
      </w:r>
      <w:proofErr w:type="spellEnd"/>
      <w:r>
        <w:t xml:space="preserve"> in Supreme Fertility Folate your </w:t>
      </w:r>
      <w:r w:rsidR="00DE0D94">
        <w:t>first-choice</w:t>
      </w:r>
      <w:r>
        <w:t xml:space="preserve"> supplement?</w:t>
      </w:r>
    </w:p>
    <w:p w14:paraId="72C542A3" w14:textId="5E98B94A" w:rsidR="00DE0D94" w:rsidRDefault="00DE0D94" w:rsidP="00F54136">
      <w:pPr>
        <w:sectPr w:rsidR="00DE0D94" w:rsidSect="00BA3708">
          <w:type w:val="continuous"/>
          <w:pgSz w:w="11906" w:h="16838"/>
          <w:pgMar w:top="1440" w:right="1440" w:bottom="1134" w:left="1440" w:header="709" w:footer="709" w:gutter="0"/>
          <w:cols w:space="708"/>
          <w:docGrid w:linePitch="360"/>
        </w:sectPr>
      </w:pPr>
    </w:p>
    <w:p w14:paraId="433420AE" w14:textId="7897CDF6" w:rsidR="00F54136" w:rsidRPr="00DE0D94" w:rsidRDefault="00F54136" w:rsidP="00DE0D94">
      <w:pPr>
        <w:shd w:val="clear" w:color="auto" w:fill="00B050"/>
        <w:jc w:val="center"/>
        <w:rPr>
          <w:b/>
          <w:bCs/>
          <w:color w:val="FFFFFF" w:themeColor="background1"/>
          <w:sz w:val="28"/>
          <w:szCs w:val="28"/>
        </w:rPr>
      </w:pPr>
      <w:r w:rsidRPr="00DE0D94">
        <w:rPr>
          <w:b/>
          <w:bCs/>
          <w:color w:val="FFFFFF" w:themeColor="background1"/>
          <w:sz w:val="28"/>
          <w:szCs w:val="28"/>
        </w:rPr>
        <w:sym w:font="Wingdings" w:char="F0FE"/>
      </w:r>
      <w:r w:rsidR="00303DB3" w:rsidRPr="00DE0D94">
        <w:rPr>
          <w:b/>
          <w:bCs/>
          <w:color w:val="FFFFFF" w:themeColor="background1"/>
          <w:sz w:val="28"/>
          <w:szCs w:val="28"/>
        </w:rPr>
        <w:t xml:space="preserve"> Stability</w:t>
      </w:r>
    </w:p>
    <w:p w14:paraId="2C5CFE8E" w14:textId="426CC355" w:rsidR="00F54136" w:rsidRPr="00DE0D94" w:rsidRDefault="00F54136" w:rsidP="00DE0D94">
      <w:pPr>
        <w:shd w:val="clear" w:color="auto" w:fill="00B0F0"/>
        <w:jc w:val="center"/>
        <w:rPr>
          <w:b/>
          <w:bCs/>
          <w:color w:val="FFFFFF" w:themeColor="background1"/>
          <w:sz w:val="28"/>
          <w:szCs w:val="28"/>
        </w:rPr>
      </w:pPr>
      <w:r w:rsidRPr="00DE0D94">
        <w:rPr>
          <w:b/>
          <w:bCs/>
          <w:color w:val="FFFFFF" w:themeColor="background1"/>
          <w:sz w:val="28"/>
          <w:szCs w:val="28"/>
        </w:rPr>
        <w:sym w:font="Wingdings" w:char="F0FE"/>
      </w:r>
      <w:r w:rsidR="00303DB3" w:rsidRPr="00DE0D94">
        <w:rPr>
          <w:b/>
          <w:bCs/>
          <w:color w:val="FFFFFF" w:themeColor="background1"/>
          <w:sz w:val="28"/>
          <w:szCs w:val="28"/>
        </w:rPr>
        <w:t xml:space="preserve"> Bioavailability</w:t>
      </w:r>
    </w:p>
    <w:p w14:paraId="02EF7847" w14:textId="37E5FF61" w:rsidR="00DE0D94" w:rsidRPr="00DE0D94" w:rsidRDefault="00303DB3" w:rsidP="00DE0D94">
      <w:pPr>
        <w:shd w:val="clear" w:color="auto" w:fill="FF33CC"/>
        <w:jc w:val="center"/>
        <w:rPr>
          <w:b/>
          <w:bCs/>
          <w:color w:val="FFFFFF" w:themeColor="background1"/>
          <w:sz w:val="28"/>
          <w:szCs w:val="28"/>
        </w:rPr>
      </w:pPr>
      <w:r w:rsidRPr="00DE0D94">
        <w:rPr>
          <w:b/>
          <w:bCs/>
          <w:color w:val="FFFFFF" w:themeColor="background1"/>
          <w:sz w:val="28"/>
          <w:szCs w:val="28"/>
        </w:rPr>
        <w:sym w:font="Wingdings" w:char="F0FE"/>
      </w:r>
      <w:r w:rsidRPr="00DE0D94">
        <w:rPr>
          <w:b/>
          <w:bCs/>
          <w:color w:val="FFFFFF" w:themeColor="background1"/>
          <w:sz w:val="28"/>
          <w:szCs w:val="28"/>
        </w:rPr>
        <w:t xml:space="preserve"> Solubility</w:t>
      </w:r>
    </w:p>
    <w:p w14:paraId="7F762888" w14:textId="52477F94" w:rsidR="00DE0D94" w:rsidRPr="001B4316" w:rsidRDefault="00303DB3" w:rsidP="001B4316">
      <w:pPr>
        <w:shd w:val="clear" w:color="auto" w:fill="FFC000"/>
        <w:jc w:val="center"/>
        <w:rPr>
          <w:b/>
          <w:bCs/>
          <w:color w:val="FFFFFF" w:themeColor="background1"/>
          <w:sz w:val="28"/>
          <w:szCs w:val="28"/>
        </w:rPr>
        <w:sectPr w:rsidR="00DE0D94" w:rsidRPr="001B4316" w:rsidSect="00DE0D94">
          <w:type w:val="continuous"/>
          <w:pgSz w:w="11906" w:h="16838"/>
          <w:pgMar w:top="1440" w:right="1440" w:bottom="1134" w:left="1440" w:header="709" w:footer="709" w:gutter="0"/>
          <w:cols w:num="2" w:space="708"/>
          <w:docGrid w:linePitch="360"/>
        </w:sectPr>
      </w:pPr>
      <w:r w:rsidRPr="00DE0D94">
        <w:rPr>
          <w:b/>
          <w:bCs/>
          <w:color w:val="FFFFFF" w:themeColor="background1"/>
          <w:sz w:val="28"/>
          <w:szCs w:val="28"/>
        </w:rPr>
        <w:sym w:font="Wingdings" w:char="F0FE"/>
      </w:r>
      <w:r w:rsidRPr="00DE0D94">
        <w:rPr>
          <w:b/>
          <w:bCs/>
          <w:color w:val="FFFFFF" w:themeColor="background1"/>
          <w:sz w:val="28"/>
          <w:szCs w:val="28"/>
        </w:rPr>
        <w:t xml:space="preserve"> Safety</w:t>
      </w:r>
      <w:r w:rsidR="00DE0D94" w:rsidRPr="00DE0D94">
        <w:rPr>
          <w:b/>
          <w:bCs/>
          <w:color w:val="FFFFFF" w:themeColor="background1"/>
          <w:sz w:val="28"/>
          <w:szCs w:val="28"/>
        </w:rPr>
        <w:t xml:space="preserve">                                    </w:t>
      </w:r>
    </w:p>
    <w:p w14:paraId="25A0FED5" w14:textId="77777777" w:rsidR="00F54136" w:rsidRPr="00F54136" w:rsidRDefault="00F54136" w:rsidP="00F54136"/>
    <w:p w14:paraId="5D130623" w14:textId="32C9F7C3" w:rsidR="00350965" w:rsidRDefault="00350965" w:rsidP="00350965">
      <w:pPr>
        <w:pStyle w:val="Heading1"/>
      </w:pPr>
      <w:r>
        <w:t>REFERENCES</w:t>
      </w:r>
    </w:p>
    <w:p w14:paraId="625CF80D" w14:textId="0FC36E4F" w:rsidR="00350965" w:rsidRPr="00350965" w:rsidRDefault="00350965" w:rsidP="00350965">
      <w:pPr>
        <w:pStyle w:val="ListParagraph"/>
        <w:numPr>
          <w:ilvl w:val="0"/>
          <w:numId w:val="4"/>
        </w:numPr>
        <w:autoSpaceDE w:val="0"/>
        <w:autoSpaceDN w:val="0"/>
        <w:adjustRightInd w:val="0"/>
        <w:spacing w:after="0" w:line="240" w:lineRule="auto"/>
        <w:rPr>
          <w:rFonts w:ascii="Arial Narrow" w:hAnsi="Arial Narrow" w:cs="Arial Narrow"/>
          <w:color w:val="231F20"/>
          <w:sz w:val="14"/>
          <w:szCs w:val="14"/>
        </w:rPr>
      </w:pPr>
      <w:r w:rsidRPr="00350965">
        <w:rPr>
          <w:rFonts w:ascii="Arial Narrow" w:hAnsi="Arial Narrow" w:cs="Arial Narrow"/>
          <w:color w:val="231F20"/>
          <w:sz w:val="14"/>
          <w:szCs w:val="14"/>
        </w:rPr>
        <w:t xml:space="preserve">Smith D. A. et al. Is folic acid good for everyone? Am J Clin </w:t>
      </w:r>
      <w:proofErr w:type="spellStart"/>
      <w:r w:rsidRPr="00350965">
        <w:rPr>
          <w:rFonts w:ascii="Arial Narrow" w:hAnsi="Arial Narrow" w:cs="Arial Narrow"/>
          <w:color w:val="231F20"/>
          <w:sz w:val="14"/>
          <w:szCs w:val="14"/>
        </w:rPr>
        <w:t>Nutr</w:t>
      </w:r>
      <w:proofErr w:type="spellEnd"/>
      <w:r w:rsidRPr="00350965">
        <w:rPr>
          <w:rFonts w:ascii="Arial Narrow" w:hAnsi="Arial Narrow" w:cs="Arial Narrow"/>
          <w:color w:val="231F20"/>
          <w:sz w:val="14"/>
          <w:szCs w:val="14"/>
        </w:rPr>
        <w:t>. 2008</w:t>
      </w:r>
    </w:p>
    <w:p w14:paraId="5151FAC9" w14:textId="69876F60" w:rsidR="00350965" w:rsidRPr="00350965" w:rsidRDefault="00350965" w:rsidP="00350965">
      <w:pPr>
        <w:pStyle w:val="ListParagraph"/>
        <w:numPr>
          <w:ilvl w:val="0"/>
          <w:numId w:val="4"/>
        </w:numPr>
        <w:autoSpaceDE w:val="0"/>
        <w:autoSpaceDN w:val="0"/>
        <w:adjustRightInd w:val="0"/>
        <w:spacing w:after="0" w:line="240" w:lineRule="auto"/>
        <w:rPr>
          <w:rFonts w:ascii="Arial Narrow" w:hAnsi="Arial Narrow" w:cs="Arial Narrow"/>
          <w:color w:val="231F20"/>
          <w:sz w:val="14"/>
          <w:szCs w:val="14"/>
        </w:rPr>
      </w:pPr>
      <w:r w:rsidRPr="00350965">
        <w:rPr>
          <w:rFonts w:ascii="Arial Narrow" w:hAnsi="Arial Narrow" w:cs="Arial Narrow"/>
          <w:color w:val="231F20"/>
          <w:sz w:val="14"/>
          <w:szCs w:val="14"/>
        </w:rPr>
        <w:t xml:space="preserve">Bailey SW, </w:t>
      </w:r>
      <w:proofErr w:type="spellStart"/>
      <w:r w:rsidRPr="00350965">
        <w:rPr>
          <w:rFonts w:ascii="Arial Narrow" w:hAnsi="Arial Narrow" w:cs="Arial Narrow"/>
          <w:color w:val="231F20"/>
          <w:sz w:val="14"/>
          <w:szCs w:val="14"/>
        </w:rPr>
        <w:t>Ayling</w:t>
      </w:r>
      <w:proofErr w:type="spellEnd"/>
      <w:r w:rsidRPr="00350965">
        <w:rPr>
          <w:rFonts w:ascii="Arial Narrow" w:hAnsi="Arial Narrow" w:cs="Arial Narrow"/>
          <w:color w:val="231F20"/>
          <w:sz w:val="14"/>
          <w:szCs w:val="14"/>
        </w:rPr>
        <w:t xml:space="preserve"> JE. The extremely slow and variable activity of dihydrofolate reductase in human liver and its implications for high</w:t>
      </w:r>
    </w:p>
    <w:p w14:paraId="1E24C9A4" w14:textId="215D2DE0" w:rsidR="00350965" w:rsidRPr="003E380D" w:rsidRDefault="00350965" w:rsidP="00350965">
      <w:pPr>
        <w:pStyle w:val="ListParagraph"/>
        <w:numPr>
          <w:ilvl w:val="0"/>
          <w:numId w:val="4"/>
        </w:numPr>
        <w:rPr>
          <w:sz w:val="14"/>
          <w:szCs w:val="14"/>
        </w:rPr>
      </w:pPr>
      <w:r w:rsidRPr="00350965">
        <w:rPr>
          <w:rFonts w:ascii="Arial Narrow" w:hAnsi="Arial Narrow" w:cs="Arial Narrow"/>
          <w:color w:val="231F20"/>
          <w:sz w:val="14"/>
          <w:szCs w:val="14"/>
        </w:rPr>
        <w:t>folic acid intake. Proceedings of the National Academy of Sciences of the United States of America. 2009Tsang BL et al. Assessing the association between the methylenetetrahydrofolate reductase (MTHFR) 677C&gt;T polymorphism and</w:t>
      </w:r>
      <w:r w:rsidRPr="00350965">
        <w:rPr>
          <w:rFonts w:ascii="Arial Narrow" w:hAnsi="Arial Narrow" w:cs="Arial Narrow"/>
          <w:color w:val="231F20"/>
          <w:sz w:val="14"/>
          <w:szCs w:val="14"/>
        </w:rPr>
        <w:t xml:space="preserve"> </w:t>
      </w:r>
      <w:r w:rsidRPr="00350965">
        <w:rPr>
          <w:rFonts w:ascii="Arial Narrow" w:hAnsi="Arial Narrow" w:cs="Arial Narrow"/>
          <w:color w:val="231F20"/>
          <w:sz w:val="14"/>
          <w:szCs w:val="14"/>
        </w:rPr>
        <w:t xml:space="preserve">blood folate concentrations: A systematic review and meta-analysis of trials and observational studies. Am. J. Clin. </w:t>
      </w:r>
      <w:proofErr w:type="spellStart"/>
      <w:r w:rsidRPr="00350965">
        <w:rPr>
          <w:rFonts w:ascii="Arial Narrow" w:hAnsi="Arial Narrow" w:cs="Arial Narrow"/>
          <w:color w:val="231F20"/>
          <w:sz w:val="14"/>
          <w:szCs w:val="14"/>
        </w:rPr>
        <w:t>Nutr</w:t>
      </w:r>
      <w:proofErr w:type="spellEnd"/>
      <w:r w:rsidRPr="00350965">
        <w:rPr>
          <w:rFonts w:ascii="Arial Narrow" w:hAnsi="Arial Narrow" w:cs="Arial Narrow"/>
          <w:color w:val="231F20"/>
          <w:sz w:val="14"/>
          <w:szCs w:val="14"/>
        </w:rPr>
        <w:t>. 2015</w:t>
      </w:r>
    </w:p>
    <w:p w14:paraId="13B46CB1" w14:textId="3D35417E" w:rsidR="003E380D" w:rsidRPr="003E380D" w:rsidRDefault="003E380D" w:rsidP="00350965">
      <w:pPr>
        <w:pStyle w:val="ListParagraph"/>
        <w:numPr>
          <w:ilvl w:val="0"/>
          <w:numId w:val="4"/>
        </w:numPr>
        <w:rPr>
          <w:sz w:val="14"/>
          <w:szCs w:val="14"/>
        </w:rPr>
      </w:pPr>
      <w:r>
        <w:rPr>
          <w:rFonts w:ascii="Arial Narrow" w:hAnsi="Arial Narrow" w:cs="Arial Narrow"/>
          <w:color w:val="231F20"/>
          <w:sz w:val="14"/>
          <w:szCs w:val="14"/>
        </w:rPr>
        <w:t xml:space="preserve">Jamil K. Clinical Implications of MTHFR Gene Polymorphism in Various Diseases. </w:t>
      </w:r>
      <w:proofErr w:type="spellStart"/>
      <w:r>
        <w:rPr>
          <w:rFonts w:ascii="Arial Narrow" w:hAnsi="Arial Narrow" w:cs="Arial Narrow"/>
          <w:color w:val="231F20"/>
          <w:sz w:val="14"/>
          <w:szCs w:val="14"/>
        </w:rPr>
        <w:t>Biol</w:t>
      </w:r>
      <w:proofErr w:type="spellEnd"/>
      <w:r>
        <w:rPr>
          <w:rFonts w:ascii="Arial Narrow" w:hAnsi="Arial Narrow" w:cs="Arial Narrow"/>
          <w:color w:val="231F20"/>
          <w:sz w:val="14"/>
          <w:szCs w:val="14"/>
        </w:rPr>
        <w:t xml:space="preserve"> Med. 2014</w:t>
      </w:r>
      <w:r>
        <w:rPr>
          <w:rFonts w:ascii="Arial Narrow" w:hAnsi="Arial Narrow" w:cs="Arial Narrow"/>
          <w:color w:val="231F20"/>
          <w:sz w:val="14"/>
          <w:szCs w:val="14"/>
        </w:rPr>
        <w:t>4</w:t>
      </w:r>
    </w:p>
    <w:p w14:paraId="0778D12B" w14:textId="77777777" w:rsidR="00943CB3" w:rsidRPr="00943CB3" w:rsidRDefault="003E380D" w:rsidP="00943CB3">
      <w:pPr>
        <w:pStyle w:val="ListParagraph"/>
        <w:numPr>
          <w:ilvl w:val="0"/>
          <w:numId w:val="4"/>
        </w:numPr>
        <w:rPr>
          <w:sz w:val="14"/>
          <w:szCs w:val="14"/>
        </w:rPr>
      </w:pPr>
      <w:r>
        <w:rPr>
          <w:rFonts w:ascii="Arial Narrow" w:hAnsi="Arial Narrow" w:cs="Arial Narrow"/>
          <w:color w:val="231F20"/>
          <w:sz w:val="14"/>
          <w:szCs w:val="14"/>
        </w:rPr>
        <w:t xml:space="preserve">Ulrich CM, Potter JD. Folate supplementation: too much of a good thing? Cancer </w:t>
      </w:r>
      <w:proofErr w:type="spellStart"/>
      <w:r>
        <w:rPr>
          <w:rFonts w:ascii="Arial Narrow" w:hAnsi="Arial Narrow" w:cs="Arial Narrow"/>
          <w:color w:val="231F20"/>
          <w:sz w:val="14"/>
          <w:szCs w:val="14"/>
        </w:rPr>
        <w:t>Epidemiol</w:t>
      </w:r>
      <w:proofErr w:type="spellEnd"/>
      <w:r>
        <w:rPr>
          <w:rFonts w:ascii="Arial Narrow" w:hAnsi="Arial Narrow" w:cs="Arial Narrow"/>
          <w:color w:val="231F20"/>
          <w:sz w:val="14"/>
          <w:szCs w:val="14"/>
        </w:rPr>
        <w:t xml:space="preserve"> Biomarkers Prev. 2006</w:t>
      </w:r>
    </w:p>
    <w:p w14:paraId="43D379C8" w14:textId="1C3FA7CC" w:rsidR="00943CB3" w:rsidRPr="00943CB3" w:rsidRDefault="00943CB3" w:rsidP="00943CB3">
      <w:pPr>
        <w:pStyle w:val="ListParagraph"/>
        <w:numPr>
          <w:ilvl w:val="0"/>
          <w:numId w:val="4"/>
        </w:numPr>
        <w:rPr>
          <w:sz w:val="14"/>
          <w:szCs w:val="14"/>
        </w:rPr>
      </w:pPr>
      <w:proofErr w:type="spellStart"/>
      <w:r w:rsidRPr="00943CB3">
        <w:rPr>
          <w:rFonts w:ascii="Arial Narrow" w:hAnsi="Arial Narrow" w:cs="Arial Narrow"/>
          <w:color w:val="231F20"/>
          <w:sz w:val="14"/>
          <w:szCs w:val="14"/>
        </w:rPr>
        <w:t>Wilcken</w:t>
      </w:r>
      <w:proofErr w:type="spellEnd"/>
      <w:r w:rsidRPr="00943CB3">
        <w:rPr>
          <w:rFonts w:ascii="Arial Narrow" w:hAnsi="Arial Narrow" w:cs="Arial Narrow"/>
          <w:color w:val="231F20"/>
          <w:sz w:val="14"/>
          <w:szCs w:val="14"/>
        </w:rPr>
        <w:t xml:space="preserve"> B et al. Geographical and ethnic variation of the 677C&gt;T allele of 5,10 methylenetetrahydrofolate reductase (MTHFR):</w:t>
      </w:r>
      <w:r>
        <w:rPr>
          <w:rFonts w:ascii="Arial Narrow" w:hAnsi="Arial Narrow" w:cs="Arial Narrow"/>
          <w:color w:val="231F20"/>
          <w:sz w:val="14"/>
          <w:szCs w:val="14"/>
        </w:rPr>
        <w:t xml:space="preserve"> </w:t>
      </w:r>
      <w:r w:rsidRPr="00943CB3">
        <w:rPr>
          <w:rFonts w:ascii="Arial Narrow" w:hAnsi="Arial Narrow" w:cs="Arial Narrow"/>
          <w:color w:val="231F20"/>
          <w:sz w:val="14"/>
          <w:szCs w:val="14"/>
        </w:rPr>
        <w:t>f</w:t>
      </w:r>
      <w:r>
        <w:rPr>
          <w:rFonts w:ascii="Arial Narrow" w:hAnsi="Arial Narrow" w:cs="Arial Narrow"/>
          <w:color w:val="231F20"/>
          <w:sz w:val="14"/>
          <w:szCs w:val="14"/>
        </w:rPr>
        <w:t>i</w:t>
      </w:r>
      <w:r w:rsidRPr="00943CB3">
        <w:rPr>
          <w:rFonts w:ascii="Arial Narrow" w:hAnsi="Arial Narrow" w:cs="Arial Narrow"/>
          <w:color w:val="231F20"/>
          <w:sz w:val="14"/>
          <w:szCs w:val="14"/>
        </w:rPr>
        <w:t xml:space="preserve"> </w:t>
      </w:r>
      <w:proofErr w:type="spellStart"/>
      <w:r w:rsidRPr="00943CB3">
        <w:rPr>
          <w:rFonts w:ascii="Arial Narrow" w:hAnsi="Arial Narrow" w:cs="Arial Narrow"/>
          <w:color w:val="231F20"/>
          <w:sz w:val="14"/>
          <w:szCs w:val="14"/>
        </w:rPr>
        <w:t>ndings</w:t>
      </w:r>
      <w:proofErr w:type="spellEnd"/>
      <w:r w:rsidRPr="00943CB3">
        <w:rPr>
          <w:rFonts w:ascii="Arial Narrow" w:hAnsi="Arial Narrow" w:cs="Arial Narrow"/>
          <w:color w:val="231F20"/>
          <w:sz w:val="14"/>
          <w:szCs w:val="14"/>
        </w:rPr>
        <w:t xml:space="preserve"> from over 7000 </w:t>
      </w:r>
      <w:proofErr w:type="spellStart"/>
      <w:r w:rsidRPr="00943CB3">
        <w:rPr>
          <w:rFonts w:ascii="Arial Narrow" w:hAnsi="Arial Narrow" w:cs="Arial Narrow"/>
          <w:color w:val="231F20"/>
          <w:sz w:val="14"/>
          <w:szCs w:val="14"/>
        </w:rPr>
        <w:t>newborns</w:t>
      </w:r>
      <w:proofErr w:type="spellEnd"/>
      <w:r w:rsidRPr="00943CB3">
        <w:rPr>
          <w:rFonts w:ascii="Arial Narrow" w:hAnsi="Arial Narrow" w:cs="Arial Narrow"/>
          <w:color w:val="231F20"/>
          <w:sz w:val="14"/>
          <w:szCs w:val="14"/>
        </w:rPr>
        <w:t xml:space="preserve"> from 16 areas worldwide. J Med Genet. 2003</w:t>
      </w:r>
    </w:p>
    <w:p w14:paraId="57E815E7" w14:textId="70599ABD" w:rsidR="00943CB3" w:rsidRPr="00943CB3" w:rsidRDefault="00943CB3" w:rsidP="00117DFB">
      <w:pPr>
        <w:pStyle w:val="ListParagraph"/>
        <w:numPr>
          <w:ilvl w:val="0"/>
          <w:numId w:val="4"/>
        </w:numPr>
        <w:spacing w:after="0" w:line="240" w:lineRule="auto"/>
        <w:contextualSpacing w:val="0"/>
        <w:rPr>
          <w:sz w:val="14"/>
          <w:szCs w:val="14"/>
        </w:rPr>
      </w:pPr>
      <w:proofErr w:type="spellStart"/>
      <w:r w:rsidRPr="00943CB3">
        <w:rPr>
          <w:rFonts w:ascii="Arial Narrow" w:hAnsi="Arial Narrow" w:cs="Arial Narrow"/>
          <w:color w:val="231F20"/>
          <w:sz w:val="14"/>
          <w:szCs w:val="14"/>
        </w:rPr>
        <w:t>Seremak-Mrozikiewicz</w:t>
      </w:r>
      <w:proofErr w:type="spellEnd"/>
      <w:r w:rsidRPr="00943CB3">
        <w:rPr>
          <w:rFonts w:ascii="Arial Narrow" w:hAnsi="Arial Narrow" w:cs="Arial Narrow"/>
          <w:color w:val="231F20"/>
          <w:sz w:val="14"/>
          <w:szCs w:val="14"/>
        </w:rPr>
        <w:t xml:space="preserve"> A et al. The </w:t>
      </w:r>
      <w:proofErr w:type="spellStart"/>
      <w:r w:rsidRPr="00943CB3">
        <w:rPr>
          <w:rFonts w:ascii="Arial Narrow" w:hAnsi="Arial Narrow" w:cs="Arial Narrow"/>
          <w:color w:val="231F20"/>
          <w:sz w:val="14"/>
          <w:szCs w:val="14"/>
        </w:rPr>
        <w:t>signifi</w:t>
      </w:r>
      <w:proofErr w:type="spellEnd"/>
      <w:r w:rsidRPr="00943CB3">
        <w:rPr>
          <w:rFonts w:ascii="Arial Narrow" w:hAnsi="Arial Narrow" w:cs="Arial Narrow"/>
          <w:color w:val="231F20"/>
          <w:sz w:val="14"/>
          <w:szCs w:val="14"/>
        </w:rPr>
        <w:t xml:space="preserve"> </w:t>
      </w:r>
      <w:proofErr w:type="spellStart"/>
      <w:r w:rsidRPr="00943CB3">
        <w:rPr>
          <w:rFonts w:ascii="Arial Narrow" w:hAnsi="Arial Narrow" w:cs="Arial Narrow"/>
          <w:color w:val="231F20"/>
          <w:sz w:val="14"/>
          <w:szCs w:val="14"/>
        </w:rPr>
        <w:t>cance</w:t>
      </w:r>
      <w:proofErr w:type="spellEnd"/>
      <w:r w:rsidRPr="00943CB3">
        <w:rPr>
          <w:rFonts w:ascii="Arial Narrow" w:hAnsi="Arial Narrow" w:cs="Arial Narrow"/>
          <w:color w:val="231F20"/>
          <w:sz w:val="14"/>
          <w:szCs w:val="14"/>
        </w:rPr>
        <w:t xml:space="preserve"> of 1793G&gt;A polymorphism in MTHFR gene in women with fi </w:t>
      </w:r>
      <w:proofErr w:type="spellStart"/>
      <w:r w:rsidRPr="00943CB3">
        <w:rPr>
          <w:rFonts w:ascii="Arial Narrow" w:hAnsi="Arial Narrow" w:cs="Arial Narrow"/>
          <w:color w:val="231F20"/>
          <w:sz w:val="14"/>
          <w:szCs w:val="14"/>
        </w:rPr>
        <w:t>rst</w:t>
      </w:r>
      <w:proofErr w:type="spellEnd"/>
      <w:r w:rsidRPr="00943CB3">
        <w:rPr>
          <w:rFonts w:ascii="Arial Narrow" w:hAnsi="Arial Narrow" w:cs="Arial Narrow"/>
          <w:color w:val="231F20"/>
          <w:sz w:val="14"/>
          <w:szCs w:val="14"/>
        </w:rPr>
        <w:t xml:space="preserve"> trimester recurrent</w:t>
      </w:r>
    </w:p>
    <w:p w14:paraId="0A0383C8" w14:textId="6CFC5DF3" w:rsidR="00943CB3" w:rsidRDefault="00943CB3" w:rsidP="00117DFB">
      <w:pPr>
        <w:pStyle w:val="ListParagraph"/>
        <w:spacing w:after="0" w:line="240" w:lineRule="auto"/>
        <w:contextualSpacing w:val="0"/>
        <w:rPr>
          <w:rFonts w:ascii="Arial Narrow" w:hAnsi="Arial Narrow" w:cs="Arial Narrow"/>
          <w:color w:val="231F20"/>
          <w:sz w:val="14"/>
          <w:szCs w:val="14"/>
        </w:rPr>
      </w:pPr>
      <w:r>
        <w:rPr>
          <w:rFonts w:ascii="Arial Narrow" w:hAnsi="Arial Narrow" w:cs="Arial Narrow"/>
          <w:color w:val="231F20"/>
          <w:sz w:val="14"/>
          <w:szCs w:val="14"/>
        </w:rPr>
        <w:t>miscarriages. Neuro Endocrinol Lett. 2010</w:t>
      </w:r>
    </w:p>
    <w:p w14:paraId="2C71A18C" w14:textId="3934D2B9" w:rsidR="001255B4" w:rsidRPr="00117DFB" w:rsidRDefault="001255B4" w:rsidP="00117DFB">
      <w:pPr>
        <w:numPr>
          <w:ilvl w:val="0"/>
          <w:numId w:val="4"/>
        </w:numPr>
        <w:shd w:val="clear" w:color="auto" w:fill="FFFFFF"/>
        <w:spacing w:after="0" w:line="240" w:lineRule="auto"/>
        <w:rPr>
          <w:rFonts w:ascii="Arial Narrow" w:eastAsia="Times New Roman" w:hAnsi="Arial Narrow" w:cs="Times New Roman"/>
          <w:sz w:val="14"/>
          <w:szCs w:val="14"/>
          <w:lang w:eastAsia="en-ZA"/>
        </w:rPr>
      </w:pPr>
      <w:r w:rsidRPr="001255B4">
        <w:rPr>
          <w:rFonts w:ascii="Arial Narrow" w:eastAsia="Times New Roman" w:hAnsi="Arial Narrow" w:cs="Times New Roman"/>
          <w:sz w:val="14"/>
          <w:szCs w:val="14"/>
          <w:lang w:eastAsia="en-ZA"/>
        </w:rPr>
        <w:t xml:space="preserve">Bailey SW, </w:t>
      </w:r>
      <w:proofErr w:type="spellStart"/>
      <w:r w:rsidRPr="001255B4">
        <w:rPr>
          <w:rFonts w:ascii="Arial Narrow" w:eastAsia="Times New Roman" w:hAnsi="Arial Narrow" w:cs="Times New Roman"/>
          <w:sz w:val="14"/>
          <w:szCs w:val="14"/>
          <w:lang w:eastAsia="en-ZA"/>
        </w:rPr>
        <w:t>Ayling</w:t>
      </w:r>
      <w:proofErr w:type="spellEnd"/>
      <w:r w:rsidRPr="001255B4">
        <w:rPr>
          <w:rFonts w:ascii="Arial Narrow" w:eastAsia="Times New Roman" w:hAnsi="Arial Narrow" w:cs="Times New Roman"/>
          <w:sz w:val="14"/>
          <w:szCs w:val="14"/>
          <w:lang w:eastAsia="en-ZA"/>
        </w:rPr>
        <w:t xml:space="preserve"> JE. The extremely slow and variable activity of dihydrofolate reductase in human liver and its implications for high folic acid intake. Proc Natl </w:t>
      </w:r>
      <w:proofErr w:type="spellStart"/>
      <w:r w:rsidRPr="001255B4">
        <w:rPr>
          <w:rFonts w:ascii="Arial Narrow" w:eastAsia="Times New Roman" w:hAnsi="Arial Narrow" w:cs="Times New Roman"/>
          <w:sz w:val="14"/>
          <w:szCs w:val="14"/>
          <w:lang w:eastAsia="en-ZA"/>
        </w:rPr>
        <w:t>Acad</w:t>
      </w:r>
      <w:proofErr w:type="spellEnd"/>
      <w:r w:rsidRPr="001255B4">
        <w:rPr>
          <w:rFonts w:ascii="Arial Narrow" w:eastAsia="Times New Roman" w:hAnsi="Arial Narrow" w:cs="Times New Roman"/>
          <w:sz w:val="14"/>
          <w:szCs w:val="14"/>
          <w:lang w:eastAsia="en-ZA"/>
        </w:rPr>
        <w:t xml:space="preserve"> Sci U S A. 2009 Sep 8;106(36):15424-9. </w:t>
      </w:r>
      <w:proofErr w:type="spellStart"/>
      <w:r w:rsidRPr="001255B4">
        <w:rPr>
          <w:rFonts w:ascii="Arial Narrow" w:eastAsia="Times New Roman" w:hAnsi="Arial Narrow" w:cs="Times New Roman"/>
          <w:sz w:val="14"/>
          <w:szCs w:val="14"/>
          <w:lang w:eastAsia="en-ZA"/>
        </w:rPr>
        <w:t>Epub</w:t>
      </w:r>
      <w:proofErr w:type="spellEnd"/>
      <w:r w:rsidRPr="001255B4">
        <w:rPr>
          <w:rFonts w:ascii="Arial Narrow" w:eastAsia="Times New Roman" w:hAnsi="Arial Narrow" w:cs="Times New Roman"/>
          <w:sz w:val="14"/>
          <w:szCs w:val="14"/>
          <w:lang w:eastAsia="en-ZA"/>
        </w:rPr>
        <w:t xml:space="preserve"> 2009 Aug 24.</w:t>
      </w:r>
    </w:p>
    <w:p w14:paraId="35FBB128" w14:textId="0A497CFE" w:rsidR="00943CB3" w:rsidRPr="00943CB3" w:rsidRDefault="00943CB3" w:rsidP="00943CB3">
      <w:pPr>
        <w:rPr>
          <w:sz w:val="14"/>
          <w:szCs w:val="14"/>
        </w:rPr>
      </w:pPr>
      <w:r>
        <w:rPr>
          <w:rFonts w:ascii="Arial Narrow" w:hAnsi="Arial Narrow" w:cs="Arial Narrow"/>
          <w:color w:val="231F20"/>
          <w:sz w:val="14"/>
          <w:szCs w:val="14"/>
        </w:rPr>
        <w:t xml:space="preserve">13. </w:t>
      </w:r>
      <w:proofErr w:type="spellStart"/>
      <w:r>
        <w:rPr>
          <w:rFonts w:ascii="Arial Narrow" w:hAnsi="Arial Narrow" w:cs="Arial Narrow"/>
          <w:color w:val="231F20"/>
          <w:sz w:val="14"/>
          <w:szCs w:val="14"/>
        </w:rPr>
        <w:t>Robien</w:t>
      </w:r>
      <w:proofErr w:type="spellEnd"/>
      <w:r>
        <w:rPr>
          <w:rFonts w:ascii="Arial Narrow" w:hAnsi="Arial Narrow" w:cs="Arial Narrow"/>
          <w:color w:val="231F20"/>
          <w:sz w:val="14"/>
          <w:szCs w:val="14"/>
        </w:rPr>
        <w:t xml:space="preserve"> A et al. Pharmacogenetics of folate-related drug targets in cancer treatment. Pharmacogenomics. 2005</w:t>
      </w:r>
    </w:p>
    <w:p w14:paraId="4C0E0F21" w14:textId="0BC38752" w:rsidR="00350965" w:rsidRPr="00350965" w:rsidRDefault="00350965" w:rsidP="00350965"/>
    <w:sectPr w:rsidR="00350965" w:rsidRPr="00350965" w:rsidSect="00BA3708">
      <w:type w:val="continuous"/>
      <w:pgSz w:w="11906" w:h="16838"/>
      <w:pgMar w:top="1440" w:right="1440" w:bottom="1134"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4AD292" w14:textId="77777777" w:rsidR="00D667C0" w:rsidRDefault="00D667C0" w:rsidP="00287F36">
      <w:pPr>
        <w:spacing w:after="0" w:line="240" w:lineRule="auto"/>
      </w:pPr>
      <w:r>
        <w:separator/>
      </w:r>
    </w:p>
  </w:endnote>
  <w:endnote w:type="continuationSeparator" w:id="0">
    <w:p w14:paraId="02E697CC" w14:textId="77777777" w:rsidR="00D667C0" w:rsidRDefault="00D667C0" w:rsidP="00287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vantGarde-ExtraLight">
    <w:altName w:val="Calibri"/>
    <w:panose1 w:val="00000000000000000000"/>
    <w:charset w:val="00"/>
    <w:family w:val="swiss"/>
    <w:notTrueType/>
    <w:pitch w:val="default"/>
    <w:sig w:usb0="00000003" w:usb1="00000000" w:usb2="00000000" w:usb3="00000000" w:csb0="00000001" w:csb1="00000000"/>
  </w:font>
  <w:font w:name="AvantGarde-Medium">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shd w:val="clear" w:color="auto" w:fill="4472C4" w:themeFill="accent1"/>
      <w:tblCellMar>
        <w:left w:w="115" w:type="dxa"/>
        <w:right w:w="115" w:type="dxa"/>
      </w:tblCellMar>
      <w:tblLook w:val="04A0" w:firstRow="1" w:lastRow="0" w:firstColumn="1" w:lastColumn="0" w:noHBand="0" w:noVBand="1"/>
    </w:tblPr>
    <w:tblGrid>
      <w:gridCol w:w="4513"/>
      <w:gridCol w:w="4513"/>
    </w:tblGrid>
    <w:tr w:rsidR="00303DB3" w:rsidRPr="00303DB3" w14:paraId="61DE01D8" w14:textId="77777777" w:rsidTr="00303DB3">
      <w:tc>
        <w:tcPr>
          <w:tcW w:w="2500" w:type="pct"/>
          <w:shd w:val="clear" w:color="auto" w:fill="00B050"/>
          <w:vAlign w:val="center"/>
        </w:tcPr>
        <w:p w14:paraId="71A70E43" w14:textId="213C6EBD" w:rsidR="00303DB3" w:rsidRDefault="00303DB3">
          <w:pPr>
            <w:pStyle w:val="Footer"/>
            <w:spacing w:before="80" w:after="80"/>
            <w:jc w:val="both"/>
            <w:rPr>
              <w:caps/>
              <w:color w:val="FFFFFF" w:themeColor="background1"/>
              <w:sz w:val="18"/>
              <w:szCs w:val="18"/>
            </w:rPr>
          </w:pPr>
          <w:sdt>
            <w:sdtPr>
              <w:rPr>
                <w:caps/>
                <w:color w:val="FFFFFF" w:themeColor="background1"/>
                <w:sz w:val="18"/>
                <w:szCs w:val="18"/>
              </w:rPr>
              <w:alias w:val="Title"/>
              <w:tag w:val=""/>
              <w:id w:val="-578829839"/>
              <w:placeholder>
                <w:docPart w:val="860516C39E83408599A4413BE288A502"/>
              </w:placeholder>
              <w:dataBinding w:prefixMappings="xmlns:ns0='http://purl.org/dc/elements/1.1/' xmlns:ns1='http://schemas.openxmlformats.org/package/2006/metadata/core-properties' " w:xpath="/ns1:coreProperties[1]/ns0:title[1]" w:storeItemID="{6C3C8BC8-F283-45AE-878A-BAB7291924A1}"/>
              <w:text/>
            </w:sdtPr>
            <w:sdtContent>
              <w:r>
                <w:rPr>
                  <w:caps/>
                  <w:color w:val="FFFFFF" w:themeColor="background1"/>
                  <w:sz w:val="18"/>
                  <w:szCs w:val="18"/>
                </w:rPr>
                <w:t xml:space="preserve"> info@supremefertility.co.za | Tel: 012 940 1569 |</w:t>
              </w:r>
            </w:sdtContent>
          </w:sdt>
        </w:p>
      </w:tc>
      <w:tc>
        <w:tcPr>
          <w:tcW w:w="2500" w:type="pct"/>
          <w:shd w:val="clear" w:color="auto" w:fill="00B050"/>
          <w:vAlign w:val="center"/>
        </w:tcPr>
        <w:sdt>
          <w:sdtPr>
            <w:rPr>
              <w:b/>
              <w:bCs/>
              <w:caps/>
              <w:color w:val="FFFFFF" w:themeColor="background1"/>
              <w:sz w:val="18"/>
              <w:szCs w:val="18"/>
            </w:rPr>
            <w:alias w:val="Author"/>
            <w:tag w:val=""/>
            <w:id w:val="-1822267932"/>
            <w:placeholder>
              <w:docPart w:val="FD6A47F93D5E4B939A250349FF8D980A"/>
            </w:placeholder>
            <w:dataBinding w:prefixMappings="xmlns:ns0='http://purl.org/dc/elements/1.1/' xmlns:ns1='http://schemas.openxmlformats.org/package/2006/metadata/core-properties' " w:xpath="/ns1:coreProperties[1]/ns0:creator[1]" w:storeItemID="{6C3C8BC8-F283-45AE-878A-BAB7291924A1}"/>
            <w:text/>
          </w:sdtPr>
          <w:sdtContent>
            <w:p w14:paraId="30DB2317" w14:textId="3DD5F133" w:rsidR="00303DB3" w:rsidRPr="00303DB3" w:rsidRDefault="00303DB3">
              <w:pPr>
                <w:pStyle w:val="Footer"/>
                <w:spacing w:before="80" w:after="80"/>
                <w:jc w:val="right"/>
                <w:rPr>
                  <w:b/>
                  <w:bCs/>
                  <w:caps/>
                  <w:color w:val="FFFFFF" w:themeColor="background1"/>
                  <w:sz w:val="18"/>
                  <w:szCs w:val="18"/>
                </w:rPr>
              </w:pPr>
              <w:r w:rsidRPr="00303DB3">
                <w:rPr>
                  <w:b/>
                  <w:bCs/>
                  <w:caps/>
                  <w:color w:val="FFFFFF" w:themeColor="background1"/>
                  <w:sz w:val="18"/>
                  <w:szCs w:val="18"/>
                </w:rPr>
                <w:t>www.supremefertility.co.za</w:t>
              </w:r>
            </w:p>
          </w:sdtContent>
        </w:sdt>
      </w:tc>
    </w:tr>
  </w:tbl>
  <w:p w14:paraId="060AA2D5" w14:textId="77777777" w:rsidR="00303DB3" w:rsidRDefault="00303D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989FB6" w14:textId="77777777" w:rsidR="00D667C0" w:rsidRDefault="00D667C0" w:rsidP="00287F36">
      <w:pPr>
        <w:spacing w:after="0" w:line="240" w:lineRule="auto"/>
      </w:pPr>
      <w:r>
        <w:separator/>
      </w:r>
    </w:p>
  </w:footnote>
  <w:footnote w:type="continuationSeparator" w:id="0">
    <w:p w14:paraId="522CF580" w14:textId="77777777" w:rsidR="00D667C0" w:rsidRDefault="00D667C0" w:rsidP="00287F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B5366"/>
    <w:multiLevelType w:val="hybridMultilevel"/>
    <w:tmpl w:val="680CFB1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135A27AB"/>
    <w:multiLevelType w:val="hybridMultilevel"/>
    <w:tmpl w:val="F6ACD7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330A545C"/>
    <w:multiLevelType w:val="hybridMultilevel"/>
    <w:tmpl w:val="760661BC"/>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 w15:restartNumberingAfterBreak="0">
    <w:nsid w:val="355F2DF2"/>
    <w:multiLevelType w:val="hybridMultilevel"/>
    <w:tmpl w:val="3C9EC7D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15:restartNumberingAfterBreak="0">
    <w:nsid w:val="406D57A3"/>
    <w:multiLevelType w:val="hybridMultilevel"/>
    <w:tmpl w:val="BF385C78"/>
    <w:lvl w:ilvl="0" w:tplc="1C09000F">
      <w:start w:val="1"/>
      <w:numFmt w:val="decimal"/>
      <w:lvlText w:val="%1."/>
      <w:lvlJc w:val="left"/>
      <w:pPr>
        <w:ind w:left="756" w:hanging="360"/>
      </w:pPr>
    </w:lvl>
    <w:lvl w:ilvl="1" w:tplc="1C090019" w:tentative="1">
      <w:start w:val="1"/>
      <w:numFmt w:val="lowerLetter"/>
      <w:lvlText w:val="%2."/>
      <w:lvlJc w:val="left"/>
      <w:pPr>
        <w:ind w:left="1476" w:hanging="360"/>
      </w:pPr>
    </w:lvl>
    <w:lvl w:ilvl="2" w:tplc="1C09001B" w:tentative="1">
      <w:start w:val="1"/>
      <w:numFmt w:val="lowerRoman"/>
      <w:lvlText w:val="%3."/>
      <w:lvlJc w:val="right"/>
      <w:pPr>
        <w:ind w:left="2196" w:hanging="180"/>
      </w:pPr>
    </w:lvl>
    <w:lvl w:ilvl="3" w:tplc="1C09000F" w:tentative="1">
      <w:start w:val="1"/>
      <w:numFmt w:val="decimal"/>
      <w:lvlText w:val="%4."/>
      <w:lvlJc w:val="left"/>
      <w:pPr>
        <w:ind w:left="2916" w:hanging="360"/>
      </w:pPr>
    </w:lvl>
    <w:lvl w:ilvl="4" w:tplc="1C090019" w:tentative="1">
      <w:start w:val="1"/>
      <w:numFmt w:val="lowerLetter"/>
      <w:lvlText w:val="%5."/>
      <w:lvlJc w:val="left"/>
      <w:pPr>
        <w:ind w:left="3636" w:hanging="360"/>
      </w:pPr>
    </w:lvl>
    <w:lvl w:ilvl="5" w:tplc="1C09001B" w:tentative="1">
      <w:start w:val="1"/>
      <w:numFmt w:val="lowerRoman"/>
      <w:lvlText w:val="%6."/>
      <w:lvlJc w:val="right"/>
      <w:pPr>
        <w:ind w:left="4356" w:hanging="180"/>
      </w:pPr>
    </w:lvl>
    <w:lvl w:ilvl="6" w:tplc="1C09000F" w:tentative="1">
      <w:start w:val="1"/>
      <w:numFmt w:val="decimal"/>
      <w:lvlText w:val="%7."/>
      <w:lvlJc w:val="left"/>
      <w:pPr>
        <w:ind w:left="5076" w:hanging="360"/>
      </w:pPr>
    </w:lvl>
    <w:lvl w:ilvl="7" w:tplc="1C090019" w:tentative="1">
      <w:start w:val="1"/>
      <w:numFmt w:val="lowerLetter"/>
      <w:lvlText w:val="%8."/>
      <w:lvlJc w:val="left"/>
      <w:pPr>
        <w:ind w:left="5796" w:hanging="360"/>
      </w:pPr>
    </w:lvl>
    <w:lvl w:ilvl="8" w:tplc="1C09001B" w:tentative="1">
      <w:start w:val="1"/>
      <w:numFmt w:val="lowerRoman"/>
      <w:lvlText w:val="%9."/>
      <w:lvlJc w:val="right"/>
      <w:pPr>
        <w:ind w:left="6516" w:hanging="180"/>
      </w:pPr>
    </w:lvl>
  </w:abstractNum>
  <w:abstractNum w:abstractNumId="5" w15:restartNumberingAfterBreak="0">
    <w:nsid w:val="437B1509"/>
    <w:multiLevelType w:val="hybridMultilevel"/>
    <w:tmpl w:val="76647E52"/>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726C630A"/>
    <w:multiLevelType w:val="multilevel"/>
    <w:tmpl w:val="A6047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6241F03"/>
    <w:multiLevelType w:val="hybridMultilevel"/>
    <w:tmpl w:val="CD5E075A"/>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1"/>
  </w:num>
  <w:num w:numId="2">
    <w:abstractNumId w:val="5"/>
  </w:num>
  <w:num w:numId="3">
    <w:abstractNumId w:val="4"/>
  </w:num>
  <w:num w:numId="4">
    <w:abstractNumId w:val="3"/>
  </w:num>
  <w:num w:numId="5">
    <w:abstractNumId w:val="7"/>
  </w:num>
  <w:num w:numId="6">
    <w:abstractNumId w:val="2"/>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04B4"/>
    <w:rsid w:val="00117DFB"/>
    <w:rsid w:val="001255B4"/>
    <w:rsid w:val="001B4316"/>
    <w:rsid w:val="001C1C13"/>
    <w:rsid w:val="00287F36"/>
    <w:rsid w:val="00303DB3"/>
    <w:rsid w:val="00337795"/>
    <w:rsid w:val="00350965"/>
    <w:rsid w:val="00366C82"/>
    <w:rsid w:val="003E380D"/>
    <w:rsid w:val="004934DE"/>
    <w:rsid w:val="005504B4"/>
    <w:rsid w:val="005D060F"/>
    <w:rsid w:val="006A4F31"/>
    <w:rsid w:val="00800ACD"/>
    <w:rsid w:val="00821A22"/>
    <w:rsid w:val="00943CB3"/>
    <w:rsid w:val="00A527C5"/>
    <w:rsid w:val="00A74E6E"/>
    <w:rsid w:val="00AF4095"/>
    <w:rsid w:val="00BA3708"/>
    <w:rsid w:val="00C33455"/>
    <w:rsid w:val="00C662CC"/>
    <w:rsid w:val="00D667C0"/>
    <w:rsid w:val="00DE0D94"/>
    <w:rsid w:val="00E526B8"/>
    <w:rsid w:val="00F54136"/>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C727AD"/>
  <w15:chartTrackingRefBased/>
  <w15:docId w15:val="{DA796F4B-18AE-4B53-A021-B13D60910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21A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504B4"/>
    <w:pPr>
      <w:spacing w:after="0" w:line="240" w:lineRule="auto"/>
    </w:pPr>
    <w:rPr>
      <w:color w:val="44546A" w:themeColor="text2"/>
      <w:sz w:val="20"/>
      <w:szCs w:val="20"/>
      <w:lang w:val="en-US"/>
    </w:rPr>
  </w:style>
  <w:style w:type="character" w:customStyle="1" w:styleId="gmaildefault">
    <w:name w:val="gmail_default"/>
    <w:basedOn w:val="DefaultParagraphFont"/>
    <w:rsid w:val="00287F36"/>
  </w:style>
  <w:style w:type="paragraph" w:styleId="Header">
    <w:name w:val="header"/>
    <w:basedOn w:val="Normal"/>
    <w:link w:val="HeaderChar"/>
    <w:uiPriority w:val="99"/>
    <w:unhideWhenUsed/>
    <w:rsid w:val="00287F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F36"/>
  </w:style>
  <w:style w:type="paragraph" w:styleId="Footer">
    <w:name w:val="footer"/>
    <w:basedOn w:val="Normal"/>
    <w:link w:val="FooterChar"/>
    <w:uiPriority w:val="99"/>
    <w:unhideWhenUsed/>
    <w:rsid w:val="00287F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F36"/>
  </w:style>
  <w:style w:type="character" w:customStyle="1" w:styleId="Heading1Char">
    <w:name w:val="Heading 1 Char"/>
    <w:basedOn w:val="DefaultParagraphFont"/>
    <w:link w:val="Heading1"/>
    <w:uiPriority w:val="9"/>
    <w:rsid w:val="00821A22"/>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5D060F"/>
    <w:pPr>
      <w:ind w:left="720"/>
      <w:contextualSpacing/>
    </w:pPr>
  </w:style>
  <w:style w:type="paragraph" w:styleId="Caption">
    <w:name w:val="caption"/>
    <w:basedOn w:val="Normal"/>
    <w:next w:val="Normal"/>
    <w:uiPriority w:val="35"/>
    <w:unhideWhenUsed/>
    <w:qFormat/>
    <w:rsid w:val="001255B4"/>
    <w:pPr>
      <w:spacing w:after="200" w:line="240" w:lineRule="auto"/>
    </w:pPr>
    <w:rPr>
      <w:i/>
      <w:iCs/>
      <w:color w:val="44546A" w:themeColor="text2"/>
      <w:sz w:val="18"/>
      <w:szCs w:val="18"/>
    </w:rPr>
  </w:style>
  <w:style w:type="character" w:styleId="HTMLCite">
    <w:name w:val="HTML Cite"/>
    <w:basedOn w:val="DefaultParagraphFont"/>
    <w:uiPriority w:val="99"/>
    <w:semiHidden/>
    <w:unhideWhenUsed/>
    <w:rsid w:val="001255B4"/>
    <w:rPr>
      <w:i/>
      <w:iCs/>
    </w:rPr>
  </w:style>
  <w:style w:type="character" w:styleId="Hyperlink">
    <w:name w:val="Hyperlink"/>
    <w:basedOn w:val="DefaultParagraphFont"/>
    <w:uiPriority w:val="99"/>
    <w:semiHidden/>
    <w:unhideWhenUsed/>
    <w:rsid w:val="001255B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0162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AUC (mmol/L -h)</c:v>
                </c:pt>
              </c:strCache>
            </c:strRef>
          </c:tx>
          <c:spPr>
            <a:solidFill>
              <a:schemeClr val="accent1"/>
            </a:solidFill>
            <a:ln>
              <a:noFill/>
            </a:ln>
            <a:effectLst/>
          </c:spPr>
          <c:invertIfNegative val="0"/>
          <c:dPt>
            <c:idx val="0"/>
            <c:invertIfNegative val="0"/>
            <c:bubble3D val="0"/>
            <c:spPr>
              <a:solidFill>
                <a:srgbClr val="FF33CC"/>
              </a:solidFill>
              <a:ln>
                <a:noFill/>
              </a:ln>
              <a:effectLst/>
            </c:spPr>
            <c:extLst>
              <c:ext xmlns:c16="http://schemas.microsoft.com/office/drawing/2014/chart" uri="{C3380CC4-5D6E-409C-BE32-E72D297353CC}">
                <c16:uniqueId val="{00000004-3099-4C68-8936-82A522E730FF}"/>
              </c:ext>
            </c:extLst>
          </c:dPt>
          <c:dPt>
            <c:idx val="1"/>
            <c:invertIfNegative val="0"/>
            <c:bubble3D val="0"/>
            <c:spPr>
              <a:solidFill>
                <a:srgbClr val="00B0F0"/>
              </a:solidFill>
              <a:ln>
                <a:noFill/>
              </a:ln>
              <a:effectLst/>
            </c:spPr>
            <c:extLst>
              <c:ext xmlns:c16="http://schemas.microsoft.com/office/drawing/2014/chart" uri="{C3380CC4-5D6E-409C-BE32-E72D297353CC}">
                <c16:uniqueId val="{00000005-3099-4C68-8936-82A522E730FF}"/>
              </c:ext>
            </c:extLst>
          </c:dPt>
          <c:dPt>
            <c:idx val="2"/>
            <c:invertIfNegative val="0"/>
            <c:bubble3D val="0"/>
            <c:spPr>
              <a:solidFill>
                <a:srgbClr val="92D050"/>
              </a:solidFill>
              <a:ln>
                <a:noFill/>
              </a:ln>
              <a:effectLst/>
            </c:spPr>
            <c:extLst>
              <c:ext xmlns:c16="http://schemas.microsoft.com/office/drawing/2014/chart" uri="{C3380CC4-5D6E-409C-BE32-E72D297353CC}">
                <c16:uniqueId val="{00000006-3099-4C68-8936-82A522E730FF}"/>
              </c:ext>
            </c:extLst>
          </c:dPt>
          <c:cat>
            <c:strRef>
              <c:f>Sheet1!$A$2:$A$4</c:f>
              <c:strCache>
                <c:ptCount val="3"/>
                <c:pt idx="0">
                  <c:v>Folic Acid</c:v>
                </c:pt>
                <c:pt idx="1">
                  <c:v>(6S)-5-methyltetrahydrofolate Ca salt</c:v>
                </c:pt>
                <c:pt idx="2">
                  <c:v>Quatrefolic</c:v>
                </c:pt>
              </c:strCache>
            </c:strRef>
          </c:cat>
          <c:val>
            <c:numRef>
              <c:f>Sheet1!$B$2:$B$4</c:f>
              <c:numCache>
                <c:formatCode>General</c:formatCode>
                <c:ptCount val="3"/>
                <c:pt idx="0">
                  <c:v>1.2</c:v>
                </c:pt>
                <c:pt idx="1">
                  <c:v>9.1</c:v>
                </c:pt>
                <c:pt idx="2">
                  <c:v>10.3</c:v>
                </c:pt>
              </c:numCache>
            </c:numRef>
          </c:val>
          <c:extLst>
            <c:ext xmlns:c16="http://schemas.microsoft.com/office/drawing/2014/chart" uri="{C3380CC4-5D6E-409C-BE32-E72D297353CC}">
              <c16:uniqueId val="{00000000-3099-4C68-8936-82A522E730FF}"/>
            </c:ext>
          </c:extLst>
        </c:ser>
        <c:dLbls>
          <c:showLegendKey val="0"/>
          <c:showVal val="0"/>
          <c:showCatName val="0"/>
          <c:showSerName val="0"/>
          <c:showPercent val="0"/>
          <c:showBubbleSize val="0"/>
        </c:dLbls>
        <c:gapWidth val="219"/>
        <c:overlap val="-27"/>
        <c:axId val="1186806800"/>
        <c:axId val="1185723328"/>
      </c:barChart>
      <c:catAx>
        <c:axId val="118680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5723328"/>
        <c:crosses val="autoZero"/>
        <c:auto val="1"/>
        <c:lblAlgn val="ctr"/>
        <c:lblOffset val="100"/>
        <c:noMultiLvlLbl val="0"/>
      </c:catAx>
      <c:valAx>
        <c:axId val="1185723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806800"/>
        <c:crosses val="autoZero"/>
        <c:crossBetween val="between"/>
      </c:valAx>
      <c:spPr>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860516C39E83408599A4413BE288A502"/>
        <w:category>
          <w:name w:val="General"/>
          <w:gallery w:val="placeholder"/>
        </w:category>
        <w:types>
          <w:type w:val="bbPlcHdr"/>
        </w:types>
        <w:behaviors>
          <w:behavior w:val="content"/>
        </w:behaviors>
        <w:guid w:val="{E23B1567-0ADE-4896-B0AA-5BE660EB4C3E}"/>
      </w:docPartPr>
      <w:docPartBody>
        <w:p w:rsidR="00000000" w:rsidRDefault="00AC5965" w:rsidP="00AC5965">
          <w:pPr>
            <w:pStyle w:val="860516C39E83408599A4413BE288A502"/>
          </w:pPr>
          <w:r>
            <w:rPr>
              <w:caps/>
              <w:color w:val="FFFFFF" w:themeColor="background1"/>
              <w:sz w:val="18"/>
              <w:szCs w:val="18"/>
            </w:rPr>
            <w:t>[Document title]</w:t>
          </w:r>
        </w:p>
      </w:docPartBody>
    </w:docPart>
    <w:docPart>
      <w:docPartPr>
        <w:name w:val="FD6A47F93D5E4B939A250349FF8D980A"/>
        <w:category>
          <w:name w:val="General"/>
          <w:gallery w:val="placeholder"/>
        </w:category>
        <w:types>
          <w:type w:val="bbPlcHdr"/>
        </w:types>
        <w:behaviors>
          <w:behavior w:val="content"/>
        </w:behaviors>
        <w:guid w:val="{4D8C9BDA-5520-46B8-ADA5-A216FAFFE99D}"/>
      </w:docPartPr>
      <w:docPartBody>
        <w:p w:rsidR="00000000" w:rsidRDefault="00AC5965" w:rsidP="00AC5965">
          <w:pPr>
            <w:pStyle w:val="FD6A47F93D5E4B939A250349FF8D980A"/>
          </w:pPr>
          <w:r>
            <w:rPr>
              <w:caps/>
              <w:color w:val="FFFFFF" w:themeColor="background1"/>
              <w:sz w:val="18"/>
              <w:szCs w:val="18"/>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vantGarde-ExtraLight">
    <w:altName w:val="Calibri"/>
    <w:panose1 w:val="00000000000000000000"/>
    <w:charset w:val="00"/>
    <w:family w:val="swiss"/>
    <w:notTrueType/>
    <w:pitch w:val="default"/>
    <w:sig w:usb0="00000003" w:usb1="00000000" w:usb2="00000000" w:usb3="00000000" w:csb0="00000001" w:csb1="00000000"/>
  </w:font>
  <w:font w:name="AvantGarde-Medium">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5965"/>
    <w:rsid w:val="001115D0"/>
    <w:rsid w:val="00AC596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4557FC80874454EBC49E9F07C2A585B">
    <w:name w:val="F4557FC80874454EBC49E9F07C2A585B"/>
    <w:rsid w:val="00AC5965"/>
  </w:style>
  <w:style w:type="paragraph" w:customStyle="1" w:styleId="9EFB49E1276F4750887D76679BE51576">
    <w:name w:val="9EFB49E1276F4750887D76679BE51576"/>
    <w:rsid w:val="00AC5965"/>
  </w:style>
  <w:style w:type="paragraph" w:customStyle="1" w:styleId="3874E218A3944EE0992FD760F7AF0B2A">
    <w:name w:val="3874E218A3944EE0992FD760F7AF0B2A"/>
    <w:rsid w:val="00AC5965"/>
  </w:style>
  <w:style w:type="paragraph" w:customStyle="1" w:styleId="EDD7EA31D2D04F59A358446CD087519A">
    <w:name w:val="EDD7EA31D2D04F59A358446CD087519A"/>
    <w:rsid w:val="00AC5965"/>
  </w:style>
  <w:style w:type="paragraph" w:customStyle="1" w:styleId="EB313445441443AC9B3EC095F7C6C1EB">
    <w:name w:val="EB313445441443AC9B3EC095F7C6C1EB"/>
    <w:rsid w:val="00AC5965"/>
  </w:style>
  <w:style w:type="paragraph" w:customStyle="1" w:styleId="860516C39E83408599A4413BE288A502">
    <w:name w:val="860516C39E83408599A4413BE288A502"/>
    <w:rsid w:val="00AC5965"/>
  </w:style>
  <w:style w:type="paragraph" w:customStyle="1" w:styleId="FD6A47F93D5E4B939A250349FF8D980A">
    <w:name w:val="FD6A47F93D5E4B939A250349FF8D980A"/>
    <w:rsid w:val="00AC596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4C4F4B-9693-4C51-9682-9034E12B7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835</Words>
  <Characters>4765</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Supreme Fertility</vt:lpstr>
    </vt:vector>
  </TitlesOfParts>
  <Company/>
  <LinksUpToDate>false</LinksUpToDate>
  <CharactersWithSpaces>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info@supremefertility.co.za | Tel: 012 940 1569 |</dc:title>
  <dc:subject>FOLATE</dc:subject>
  <dc:creator>www.supremefertility.co.za</dc:creator>
  <cp:keywords/>
  <dc:description/>
  <cp:lastModifiedBy>Debra Langley</cp:lastModifiedBy>
  <cp:revision>3</cp:revision>
  <dcterms:created xsi:type="dcterms:W3CDTF">2020-10-24T13:39:00Z</dcterms:created>
  <dcterms:modified xsi:type="dcterms:W3CDTF">2020-10-24T13:44:00Z</dcterms:modified>
</cp:coreProperties>
</file>